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38" w:rsidRPr="004B4820" w:rsidRDefault="00961438" w:rsidP="00446AE2">
      <w:pPr>
        <w:spacing w:line="360" w:lineRule="auto"/>
        <w:rPr>
          <w:rFonts w:ascii="Times New Roman" w:hAnsi="Times New Roman" w:cs="Times New Roman"/>
          <w:color w:val="auto"/>
        </w:rPr>
      </w:pPr>
    </w:p>
    <w:p w:rsidR="002D3F0A" w:rsidRPr="004B4820" w:rsidRDefault="002D3F0A" w:rsidP="00446AE2">
      <w:pPr>
        <w:pStyle w:val="BodyText"/>
        <w:spacing w:line="360" w:lineRule="auto"/>
        <w:rPr>
          <w:rFonts w:ascii="Times New Roman" w:hAnsi="Times New Roman" w:cs="Times New Roman"/>
          <w:b/>
          <w:bCs/>
          <w:color w:val="auto"/>
          <w:sz w:val="24"/>
          <w:szCs w:val="24"/>
        </w:rPr>
      </w:pPr>
    </w:p>
    <w:p w:rsidR="002D3F0A" w:rsidRPr="004B4820" w:rsidRDefault="002D3F0A" w:rsidP="00446AE2">
      <w:pPr>
        <w:pStyle w:val="BodyText"/>
        <w:spacing w:line="360" w:lineRule="auto"/>
        <w:jc w:val="center"/>
        <w:rPr>
          <w:rFonts w:ascii="Times New Roman" w:hAnsi="Times New Roman" w:cs="Times New Roman"/>
          <w:b/>
          <w:bCs/>
          <w:color w:val="auto"/>
          <w:sz w:val="24"/>
          <w:szCs w:val="24"/>
        </w:rPr>
      </w:pPr>
      <w:r w:rsidRPr="004B4820">
        <w:rPr>
          <w:rFonts w:ascii="Times New Roman" w:hAnsi="Times New Roman" w:cs="Times New Roman"/>
          <w:b/>
          <w:bCs/>
          <w:color w:val="auto"/>
          <w:sz w:val="24"/>
          <w:szCs w:val="24"/>
        </w:rPr>
        <w:t>Proiect de Ordin</w:t>
      </w:r>
    </w:p>
    <w:p w:rsidR="002D3F0A" w:rsidRPr="004B4820" w:rsidRDefault="002D3F0A" w:rsidP="00446AE2">
      <w:pPr>
        <w:pStyle w:val="BodyText"/>
        <w:spacing w:line="360" w:lineRule="auto"/>
        <w:rPr>
          <w:rFonts w:ascii="Times New Roman" w:hAnsi="Times New Roman" w:cs="Times New Roman"/>
          <w:b/>
          <w:bCs/>
          <w:color w:val="auto"/>
          <w:sz w:val="24"/>
          <w:szCs w:val="24"/>
        </w:rPr>
      </w:pPr>
    </w:p>
    <w:p w:rsidR="002D3F0A" w:rsidRPr="004B4820" w:rsidRDefault="002D3F0A" w:rsidP="00446AE2">
      <w:pPr>
        <w:pStyle w:val="BodyText"/>
        <w:spacing w:line="360" w:lineRule="auto"/>
        <w:jc w:val="both"/>
        <w:rPr>
          <w:rFonts w:ascii="Times New Roman" w:hAnsi="Times New Roman" w:cs="Times New Roman"/>
          <w:color w:val="auto"/>
          <w:sz w:val="24"/>
          <w:szCs w:val="24"/>
        </w:rPr>
      </w:pPr>
      <w:r w:rsidRPr="004B4820">
        <w:rPr>
          <w:rFonts w:ascii="Times New Roman" w:hAnsi="Times New Roman" w:cs="Times New Roman"/>
          <w:b/>
          <w:bCs/>
          <w:color w:val="auto"/>
          <w:sz w:val="24"/>
          <w:szCs w:val="24"/>
        </w:rPr>
        <w:t>privind</w:t>
      </w:r>
      <w:r w:rsidRPr="004B4820">
        <w:rPr>
          <w:rStyle w:val="BodyTextChar"/>
          <w:rFonts w:ascii="Times New Roman" w:hAnsi="Times New Roman" w:cs="Times New Roman"/>
          <w:b/>
          <w:bCs/>
          <w:color w:val="auto"/>
          <w:sz w:val="24"/>
          <w:szCs w:val="24"/>
        </w:rPr>
        <w:t xml:space="preserve"> procedurii de acordare, suspendare și retragere a statutului de prestator de servicii de încredere calificat,</w:t>
      </w:r>
    </w:p>
    <w:p w:rsidR="002D3F0A" w:rsidRPr="004B4820" w:rsidRDefault="002D3F0A" w:rsidP="00446AE2">
      <w:pPr>
        <w:pStyle w:val="BodyText"/>
        <w:spacing w:line="360" w:lineRule="auto"/>
        <w:jc w:val="both"/>
        <w:rPr>
          <w:rStyle w:val="BodyTextChar"/>
          <w:rFonts w:ascii="Times New Roman" w:hAnsi="Times New Roman" w:cs="Times New Roman"/>
          <w:b/>
          <w:bCs/>
          <w:color w:val="auto"/>
          <w:sz w:val="24"/>
          <w:szCs w:val="24"/>
        </w:rPr>
      </w:pPr>
      <w:r w:rsidRPr="004B4820">
        <w:rPr>
          <w:rStyle w:val="BodyTextChar"/>
          <w:rFonts w:ascii="Times New Roman" w:hAnsi="Times New Roman" w:cs="Times New Roman"/>
          <w:b/>
          <w:bCs/>
          <w:color w:val="auto"/>
          <w:sz w:val="24"/>
          <w:szCs w:val="24"/>
        </w:rPr>
        <w:t xml:space="preserve">procedurii de înregistrare și radiere a prestatorilor de servicii de încredere necalificat în Registrul prestatorilor de servicii de încredere necalificat </w:t>
      </w:r>
      <w:proofErr w:type="spellStart"/>
      <w:r w:rsidRPr="004B4820">
        <w:rPr>
          <w:rStyle w:val="BodyTextChar"/>
          <w:rFonts w:ascii="Times New Roman" w:hAnsi="Times New Roman" w:cs="Times New Roman"/>
          <w:b/>
          <w:bCs/>
          <w:color w:val="auto"/>
          <w:sz w:val="24"/>
          <w:szCs w:val="24"/>
        </w:rPr>
        <w:t>prevăzuti</w:t>
      </w:r>
      <w:proofErr w:type="spellEnd"/>
      <w:r w:rsidRPr="004B4820">
        <w:rPr>
          <w:rStyle w:val="BodyTextChar"/>
          <w:rFonts w:ascii="Times New Roman" w:hAnsi="Times New Roman" w:cs="Times New Roman"/>
          <w:b/>
          <w:bCs/>
          <w:color w:val="auto"/>
          <w:sz w:val="24"/>
          <w:szCs w:val="24"/>
        </w:rPr>
        <w:t xml:space="preserve"> la art. 21 din Legea nr. 214/2024 privind utilizarea semnăturii electronice, a mărcii temporale și prestarea serviciilor de încredere bazate pe acestea</w:t>
      </w:r>
      <w:r w:rsidR="00EF049A">
        <w:rPr>
          <w:rStyle w:val="BodyTextChar"/>
          <w:rFonts w:ascii="Times New Roman" w:hAnsi="Times New Roman" w:cs="Times New Roman"/>
          <w:b/>
          <w:bCs/>
          <w:color w:val="auto"/>
          <w:sz w:val="24"/>
          <w:szCs w:val="24"/>
        </w:rPr>
        <w:t>,</w:t>
      </w:r>
    </w:p>
    <w:p w:rsidR="002D3F0A" w:rsidRPr="004B4820" w:rsidRDefault="002D3F0A" w:rsidP="00446AE2">
      <w:pPr>
        <w:pStyle w:val="BodyText"/>
        <w:spacing w:line="360" w:lineRule="auto"/>
        <w:jc w:val="both"/>
        <w:rPr>
          <w:rStyle w:val="BodyTextChar"/>
          <w:rFonts w:ascii="Times New Roman" w:hAnsi="Times New Roman" w:cs="Times New Roman"/>
          <w:b/>
          <w:bCs/>
          <w:color w:val="auto"/>
          <w:sz w:val="24"/>
          <w:szCs w:val="24"/>
        </w:rPr>
      </w:pPr>
      <w:r w:rsidRPr="004B4820">
        <w:rPr>
          <w:rFonts w:ascii="Times New Roman" w:hAnsi="Times New Roman" w:cs="Times New Roman"/>
          <w:color w:val="auto"/>
          <w:sz w:val="24"/>
          <w:szCs w:val="24"/>
        </w:rPr>
        <w:t xml:space="preserve"> </w:t>
      </w:r>
      <w:r w:rsidRPr="004B4820">
        <w:rPr>
          <w:rStyle w:val="BodyTextChar"/>
          <w:rFonts w:ascii="Times New Roman" w:hAnsi="Times New Roman" w:cs="Times New Roman"/>
          <w:b/>
          <w:bCs/>
          <w:color w:val="auto"/>
          <w:sz w:val="24"/>
          <w:szCs w:val="24"/>
        </w:rPr>
        <w:t>procedurii de înregistrare a prestatorilor de servicii de încredere necalificat din domeniul apărării, ordinii publice și siguranței naționale în Registrul prestatorilor de servicii de încredere necalificat,</w:t>
      </w:r>
      <w:bookmarkStart w:id="0" w:name="bookmark0"/>
    </w:p>
    <w:p w:rsidR="002D3F0A" w:rsidRPr="004B4820" w:rsidRDefault="002D3F0A" w:rsidP="00446AE2">
      <w:pPr>
        <w:pStyle w:val="BodyText"/>
        <w:spacing w:line="360" w:lineRule="auto"/>
        <w:jc w:val="both"/>
        <w:rPr>
          <w:rStyle w:val="Heading3"/>
          <w:rFonts w:ascii="Times New Roman" w:hAnsi="Times New Roman" w:cs="Times New Roman"/>
          <w:color w:val="auto"/>
          <w:sz w:val="24"/>
          <w:szCs w:val="24"/>
        </w:rPr>
      </w:pPr>
      <w:r w:rsidRPr="004B4820">
        <w:rPr>
          <w:rStyle w:val="Heading3"/>
          <w:rFonts w:ascii="Times New Roman" w:hAnsi="Times New Roman" w:cs="Times New Roman"/>
          <w:color w:val="auto"/>
          <w:sz w:val="24"/>
          <w:szCs w:val="24"/>
        </w:rPr>
        <w:t>procedurii de supraveghere, control și sancționare a prestatorilor de servicii de încredere și aprobarea mecanismelor de validare</w:t>
      </w:r>
      <w:bookmarkEnd w:id="0"/>
    </w:p>
    <w:p w:rsidR="00446AE2" w:rsidRPr="004B4820" w:rsidRDefault="00446AE2" w:rsidP="00446AE2">
      <w:pPr>
        <w:pStyle w:val="BodyText"/>
        <w:spacing w:line="360" w:lineRule="auto"/>
        <w:jc w:val="both"/>
        <w:rPr>
          <w:rStyle w:val="Heading3"/>
          <w:rFonts w:ascii="Times New Roman" w:hAnsi="Times New Roman" w:cs="Times New Roman"/>
          <w:color w:val="auto"/>
          <w:sz w:val="24"/>
          <w:szCs w:val="24"/>
        </w:rPr>
      </w:pPr>
    </w:p>
    <w:p w:rsidR="00446AE2" w:rsidRPr="004B4820" w:rsidRDefault="00446AE2" w:rsidP="00446AE2">
      <w:pPr>
        <w:pStyle w:val="BodyText"/>
        <w:spacing w:line="360" w:lineRule="auto"/>
        <w:jc w:val="both"/>
        <w:rPr>
          <w:rFonts w:ascii="Times New Roman" w:hAnsi="Times New Roman" w:cs="Times New Roman"/>
          <w:b/>
          <w:bCs/>
          <w:color w:val="auto"/>
          <w:sz w:val="24"/>
          <w:szCs w:val="24"/>
        </w:rPr>
      </w:pPr>
    </w:p>
    <w:p w:rsidR="002D3F0A" w:rsidRPr="004B4820" w:rsidRDefault="002D3F0A"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Având în vedere:</w:t>
      </w:r>
    </w:p>
    <w:p w:rsidR="002D3F0A" w:rsidRPr="004B4820" w:rsidRDefault="002D3F0A" w:rsidP="00446AE2">
      <w:pPr>
        <w:pStyle w:val="BodyText"/>
        <w:numPr>
          <w:ilvl w:val="0"/>
          <w:numId w:val="1"/>
        </w:numPr>
        <w:tabs>
          <w:tab w:val="left" w:pos="303"/>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Regulamentul (UE) nr. 910/2014 al Parlamentului European și al Consiliului din 23 iulie 2014 privind identificarea electronică și serviciile de încredere pentru tranzacțiile electronice pe piața internă și de abrogare a Directivei 1999/93/CE, cu modificările și completările ulterioare;</w:t>
      </w:r>
    </w:p>
    <w:p w:rsidR="002D3F0A" w:rsidRPr="004B4820" w:rsidRDefault="002D3F0A" w:rsidP="00446AE2">
      <w:pPr>
        <w:pStyle w:val="BodyText"/>
        <w:numPr>
          <w:ilvl w:val="0"/>
          <w:numId w:val="1"/>
        </w:numPr>
        <w:tabs>
          <w:tab w:val="left" w:pos="308"/>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Regulamentul de punere în aplicare (UE) nr. 1.501/2015 al Comisiei din 8 septembrie 2015 privind cadrul de interoperabilitate prevăzut la articolul 12 alineatul (8) din Regulamentul (UE) nr. 910/2014 al Parlamentului European și al Consiliului privind identificarea electronică și serviciile de încredere pentru tranzacțiile electronice pe piața internă + rectificarea din data de 9 septembrie 2015;</w:t>
      </w:r>
    </w:p>
    <w:p w:rsidR="002D3F0A" w:rsidRPr="004B4820" w:rsidRDefault="002D3F0A" w:rsidP="00446AE2">
      <w:pPr>
        <w:pStyle w:val="BodyText"/>
        <w:numPr>
          <w:ilvl w:val="0"/>
          <w:numId w:val="1"/>
        </w:numPr>
        <w:tabs>
          <w:tab w:val="left" w:pos="322"/>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 xml:space="preserve">Regulamentul de punere în aplicare (UE) nr. 1.502/2015 al Comisiei din 8 septembrie 2015 de stabilire a unor specificații și proceduri tehnice minime pentru nivelurile de asigurare a încrederii ale mijloacelor de identificare electronică în temeiul articolului 8 alineatul (3) din Regulamentul (UE) nr. 910/2014 al Parlamentului European și al Consiliului privind </w:t>
      </w:r>
      <w:r w:rsidRPr="004B4820">
        <w:rPr>
          <w:rStyle w:val="BodyTextChar"/>
          <w:rFonts w:ascii="Times New Roman" w:hAnsi="Times New Roman" w:cs="Times New Roman"/>
          <w:color w:val="auto"/>
          <w:sz w:val="24"/>
          <w:szCs w:val="24"/>
        </w:rPr>
        <w:lastRenderedPageBreak/>
        <w:t>identificarea electronică și serviciile de încredere pentru tranzacțiile electronice pe piața internă;</w:t>
      </w:r>
    </w:p>
    <w:p w:rsidR="002D3F0A" w:rsidRPr="004B4820" w:rsidRDefault="002D3F0A" w:rsidP="00446AE2">
      <w:pPr>
        <w:pStyle w:val="BodyText"/>
        <w:numPr>
          <w:ilvl w:val="0"/>
          <w:numId w:val="1"/>
        </w:numPr>
        <w:tabs>
          <w:tab w:val="left" w:pos="322"/>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Decizia de punere în aplicare (UE) nr. 296/2015 a Comisiei din 24 februarie 2015 de stabilire a modalităților procedurale de cooperare între statele membre privind identificarea electronică în temeiul articolului 12 alineatul (7) din Regulamentul (UE) nr. 910/2014 al Parlamentului European și al Consiliului privind identificarea electronică și serviciile de încredere pentru tranzacțiile electronice pe piața internă;</w:t>
      </w:r>
    </w:p>
    <w:p w:rsidR="002D3F0A" w:rsidRPr="004B4820" w:rsidRDefault="002D3F0A" w:rsidP="00446AE2">
      <w:pPr>
        <w:pStyle w:val="BodyText"/>
        <w:numPr>
          <w:ilvl w:val="0"/>
          <w:numId w:val="1"/>
        </w:numPr>
        <w:tabs>
          <w:tab w:val="left" w:pos="308"/>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Decizia de punere în aplicare (UE) nr. 1.505/2015 a Comisiei din 8 septembrie 2015 de stabilire a specificațiilor tehnice și a formatelor pentru listele sigure în temeiul articolului 22 alineatul (5) din Regulamentul (UE) nr. 910/2014 al Parlamentului European și al Consiliului privind identificarea electronică și serviciile de încredere pentru tranzacțiile electronice pe piața internă;</w:t>
      </w:r>
    </w:p>
    <w:p w:rsidR="002D3F0A" w:rsidRPr="004B4820" w:rsidRDefault="002D3F0A" w:rsidP="00446AE2">
      <w:pPr>
        <w:pStyle w:val="BodyText"/>
        <w:numPr>
          <w:ilvl w:val="0"/>
          <w:numId w:val="1"/>
        </w:numPr>
        <w:tabs>
          <w:tab w:val="left" w:pos="322"/>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Decizia de punere în aplicare (UE) nr. 1.506/2015 a Comisiei din 8 septembrie 2015 de stabilire a specificațiilor referitoare la formatele semnăturilor și sigiliilor electronice avansate care trebuie recunoscute de către organismele din sectorul public în temeiul articolului 27 alineatul (5) și al articolului 37 alineatul (5) din Regulamentul (UE) nr. 910/2014 al Parlamentului European și al Consiliului privind identificarea electronică și serviciile de încredere pentru tranzacțiile electronice pe piața internă;</w:t>
      </w:r>
    </w:p>
    <w:p w:rsidR="002D3F0A" w:rsidRPr="004B4820" w:rsidRDefault="002D3F0A" w:rsidP="00446AE2">
      <w:pPr>
        <w:pStyle w:val="BodyText"/>
        <w:numPr>
          <w:ilvl w:val="0"/>
          <w:numId w:val="1"/>
        </w:numPr>
        <w:tabs>
          <w:tab w:val="left" w:pos="308"/>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Decizia de punere în aplicare (UE) nr. 1.984/2015 a Comisiei din 3 noiembrie 2015 de stabilire a circumstanțelor, a formatelor și a procedurilor de notificare, în conformitate cu articolul 9 alineatul (5) din Regulamentul (UE) nr. 910/2014 al Parlamentului European și al Consiliului privind identificarea electronică și serviciile de încredere pentru tranzacțiile electronice pe piața internă;</w:t>
      </w:r>
    </w:p>
    <w:p w:rsidR="002D3F0A" w:rsidRPr="004B4820" w:rsidRDefault="002D3F0A" w:rsidP="00446AE2">
      <w:pPr>
        <w:pStyle w:val="BodyText"/>
        <w:numPr>
          <w:ilvl w:val="0"/>
          <w:numId w:val="1"/>
        </w:numPr>
        <w:tabs>
          <w:tab w:val="left" w:pos="308"/>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Decizia de punere în aplicare (UE) nr. 650/2016 a Comisiei din 25 aprilie 2016 de stabilire a standardelor pentru evaluarea securității dispozitivelor de creare a semnăturilor și a sigiliilor calificate în temeiul articolului 30 alineatul (3) și al articolului 39 alineatul (2) din Regulamentul (UE) nr. 910/2014 al Parlamentului European și al Consiliului privind identificarea electronică și serviciile de încredere pentru tranzacțiile electronice pe piața internă;</w:t>
      </w:r>
    </w:p>
    <w:p w:rsidR="002D3F0A" w:rsidRPr="004B4820" w:rsidRDefault="002D3F0A" w:rsidP="00446AE2">
      <w:pPr>
        <w:pStyle w:val="BodyText"/>
        <w:numPr>
          <w:ilvl w:val="0"/>
          <w:numId w:val="1"/>
        </w:numPr>
        <w:tabs>
          <w:tab w:val="left" w:pos="303"/>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Legea nr. 214/2024 privind utilizarea semnăturii electronice, a mărcii temporale și prestarea serviciilor de încredere bazate pe acestea;</w:t>
      </w:r>
    </w:p>
    <w:p w:rsidR="002D3F0A" w:rsidRPr="004B4820" w:rsidRDefault="002D3F0A" w:rsidP="00446AE2">
      <w:pPr>
        <w:pStyle w:val="BodyText"/>
        <w:numPr>
          <w:ilvl w:val="0"/>
          <w:numId w:val="1"/>
        </w:numPr>
        <w:tabs>
          <w:tab w:val="left" w:pos="414"/>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lastRenderedPageBreak/>
        <w:t>Hotărârea nr. 89/2020 privind organizarea și funcționarea Autorității pentru Digitalizarea României, cu modificările și completările ulterioare;</w:t>
      </w:r>
    </w:p>
    <w:p w:rsidR="002D3F0A" w:rsidRPr="004B4820" w:rsidRDefault="002D3F0A" w:rsidP="00446AE2">
      <w:pPr>
        <w:pStyle w:val="BodyText"/>
        <w:spacing w:line="360" w:lineRule="auto"/>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temeiul art. 12 alin. (3) din Hotărârea nr. 189/2025 privind organizarea și funcționarea Ministerului Economiei, Digitalizării, Antreprenoriatului și Turismului, ministrul Economiei, Digitalizării, Antreprenoriatului și Turismului emite prezentul</w:t>
      </w:r>
    </w:p>
    <w:p w:rsidR="002D3F0A" w:rsidRPr="004B4820" w:rsidRDefault="002D3F0A" w:rsidP="00446AE2">
      <w:pPr>
        <w:pStyle w:val="BodyText"/>
        <w:spacing w:line="360" w:lineRule="auto"/>
        <w:jc w:val="both"/>
        <w:rPr>
          <w:rFonts w:ascii="Times New Roman" w:hAnsi="Times New Roman" w:cs="Times New Roman"/>
          <w:color w:val="auto"/>
          <w:sz w:val="24"/>
          <w:szCs w:val="24"/>
        </w:rPr>
      </w:pPr>
    </w:p>
    <w:p w:rsidR="002D3F0A" w:rsidRPr="004B4820" w:rsidRDefault="002D3F0A" w:rsidP="00446AE2">
      <w:pPr>
        <w:pStyle w:val="Heading30"/>
        <w:keepNext/>
        <w:keepLines/>
        <w:spacing w:line="360" w:lineRule="auto"/>
        <w:jc w:val="center"/>
        <w:rPr>
          <w:rFonts w:ascii="Times New Roman" w:hAnsi="Times New Roman" w:cs="Times New Roman"/>
          <w:b w:val="0"/>
          <w:sz w:val="24"/>
          <w:szCs w:val="24"/>
        </w:rPr>
      </w:pPr>
      <w:bookmarkStart w:id="1" w:name="bookmark2"/>
      <w:r w:rsidRPr="004B4820">
        <w:rPr>
          <w:rStyle w:val="Heading3"/>
          <w:rFonts w:ascii="Times New Roman" w:hAnsi="Times New Roman" w:cs="Times New Roman"/>
          <w:b/>
          <w:sz w:val="24"/>
          <w:szCs w:val="24"/>
        </w:rPr>
        <w:t>ORDIN</w:t>
      </w:r>
      <w:bookmarkEnd w:id="1"/>
    </w:p>
    <w:p w:rsidR="002D3F0A" w:rsidRPr="004B4820" w:rsidRDefault="002D3F0A"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Art. 1</w:t>
      </w:r>
    </w:p>
    <w:p w:rsidR="002D3F0A" w:rsidRPr="004B4820" w:rsidRDefault="002D3F0A" w:rsidP="00446AE2">
      <w:pPr>
        <w:pStyle w:val="BodyText"/>
        <w:numPr>
          <w:ilvl w:val="0"/>
          <w:numId w:val="2"/>
        </w:numPr>
        <w:tabs>
          <w:tab w:val="left" w:pos="720"/>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Prezentul ordin se aplică prestatorilor de servicii de încredere care doresc să își desfășoare activitatea ca prestatori de servicii de încredere calificate,  și necalificate și stabilește procedura de acordare, suspendare și retragere a statutului de prestator de servicii de încredere calificate, procedura de înscriere în Registrul prestatorilor de servicii de încredere necalificate prevăzut la art. 21, alin. (1) din Legea nr. 214/2024 privind utilizarea semnăturii electronice, a mărcii temporale și prestarea serviciilor de încredere bazate pe acestea, procedura de înregistrare a prestatorilor de servicii de încredere necalificate din domeniul apărării, ordinii publice și siguranței naționale în Registrul prestatorilor de servicii de încredere necalificate, procedura de supraveghere, control și sancționare a prestatorilor de servicii de încredere și aprobarea mecanismelor de validare în conformitate cu Regulamentul (UE) nr. 910/2014 al Parlamentului European și al Consiliului din 23 iulie 2014 privind identificarea electronică și serviciile de încredere pentru tranzacțiile electronice pe piața internă și de abrogare a Directivei 1999/93/CE, denumit în continuare Regulamentul (UE) nr. 910/2014, cu modificările și completările ulterioare și cu Legea nr. 214/2024 privind utilizarea semnăturii electronice, a mărcii temporale și prestarea serviciilor de încredere bazate pe acestea, de către Autoritatea pentru Digitalizarea României, organism de supraveghere al României în domeniul</w:t>
      </w:r>
    </w:p>
    <w:p w:rsidR="002D3F0A" w:rsidRPr="004B4820" w:rsidRDefault="002D3F0A"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prestării serviciilor de încredere și autoritatea de reglementare și supraveghere specializată în domeniu, denumită în continuare ADR.</w:t>
      </w:r>
    </w:p>
    <w:p w:rsidR="002D3F0A" w:rsidRPr="004B4820" w:rsidRDefault="002D3F0A" w:rsidP="00446AE2">
      <w:pPr>
        <w:pStyle w:val="BodyText"/>
        <w:numPr>
          <w:ilvl w:val="0"/>
          <w:numId w:val="2"/>
        </w:numPr>
        <w:tabs>
          <w:tab w:val="left" w:pos="720"/>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Prezentul ordin stabilește:</w:t>
      </w:r>
    </w:p>
    <w:p w:rsidR="002D3F0A" w:rsidRPr="004B4820" w:rsidRDefault="002D3F0A" w:rsidP="00446AE2">
      <w:pPr>
        <w:pStyle w:val="BodyText"/>
        <w:numPr>
          <w:ilvl w:val="0"/>
          <w:numId w:val="3"/>
        </w:numPr>
        <w:tabs>
          <w:tab w:val="left" w:pos="341"/>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procedura de acordare, suspendare și retragere a statutului de prestator de servicii de încredere calificate, cuprinsă în Anexa nr. 1 la prezentul ordin;</w:t>
      </w:r>
    </w:p>
    <w:p w:rsidR="002D3F0A" w:rsidRPr="004B4820" w:rsidRDefault="002D3F0A" w:rsidP="00446AE2">
      <w:pPr>
        <w:pStyle w:val="BodyText"/>
        <w:numPr>
          <w:ilvl w:val="0"/>
          <w:numId w:val="3"/>
        </w:numPr>
        <w:tabs>
          <w:tab w:val="left" w:pos="327"/>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 xml:space="preserve">procedura de înscriere în Registrul prestatorilor de servicii de încredere necalificate care prestează servicii de creare, verificare și validare de semnături electronice avansate prevăzut la </w:t>
      </w:r>
      <w:r w:rsidRPr="004B4820">
        <w:rPr>
          <w:rStyle w:val="BodyTextChar"/>
          <w:rFonts w:ascii="Times New Roman" w:hAnsi="Times New Roman" w:cs="Times New Roman"/>
          <w:color w:val="auto"/>
          <w:sz w:val="24"/>
          <w:szCs w:val="24"/>
        </w:rPr>
        <w:lastRenderedPageBreak/>
        <w:t>art. 21, alin. (1) din Legea nr. 214/2024 privind utilizarea semnăturii electronice, a mărcii temporale și prestarea serviciilor de încredere bazate pe acestea, cuprinsă în Anexa nr. 2 la prezentul ordin;</w:t>
      </w:r>
    </w:p>
    <w:p w:rsidR="002D3F0A" w:rsidRPr="004B4820" w:rsidRDefault="002D3F0A" w:rsidP="00446AE2">
      <w:pPr>
        <w:pStyle w:val="BodyText"/>
        <w:numPr>
          <w:ilvl w:val="0"/>
          <w:numId w:val="3"/>
        </w:numPr>
        <w:tabs>
          <w:tab w:val="left" w:pos="322"/>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procedura de înregistrare a prestatorilor de servicii de încredere necalificate din domeniul apărării, ordinii publice și siguranței naționale în Registrul prestatorilor de servicii de încredere necalificate, cuprinsă în Anexa nr. 3 la prezentul ordin;</w:t>
      </w:r>
    </w:p>
    <w:p w:rsidR="002D3F0A" w:rsidRPr="004B4820" w:rsidRDefault="002D3F0A" w:rsidP="00446AE2">
      <w:pPr>
        <w:pStyle w:val="BodyText"/>
        <w:numPr>
          <w:ilvl w:val="0"/>
          <w:numId w:val="3"/>
        </w:numPr>
        <w:tabs>
          <w:tab w:val="left" w:pos="331"/>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procedura de supraveghere, control și sancționare a prestatorilor de servicii de încredere, cuprinsă în Anexa 4;</w:t>
      </w:r>
    </w:p>
    <w:p w:rsidR="002D3F0A" w:rsidRPr="004B4820" w:rsidRDefault="002D3F0A" w:rsidP="00446AE2">
      <w:pPr>
        <w:pStyle w:val="BodyText"/>
        <w:numPr>
          <w:ilvl w:val="0"/>
          <w:numId w:val="3"/>
        </w:numPr>
        <w:tabs>
          <w:tab w:val="left" w:pos="327"/>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aprobarea mecanismelor de validare, ce se constituie în Anexa nr. 5 la prezentul ordin.</w:t>
      </w:r>
    </w:p>
    <w:p w:rsidR="002D3F0A" w:rsidRPr="004B4820" w:rsidRDefault="002D3F0A" w:rsidP="00446AE2">
      <w:pPr>
        <w:pStyle w:val="Heading30"/>
        <w:keepNext/>
        <w:keepLines/>
        <w:spacing w:line="360" w:lineRule="auto"/>
        <w:jc w:val="both"/>
        <w:rPr>
          <w:rFonts w:ascii="Times New Roman" w:hAnsi="Times New Roman" w:cs="Times New Roman"/>
          <w:sz w:val="24"/>
          <w:szCs w:val="24"/>
        </w:rPr>
      </w:pPr>
      <w:bookmarkStart w:id="2" w:name="bookmark4"/>
      <w:r w:rsidRPr="004B4820">
        <w:rPr>
          <w:rStyle w:val="Heading3"/>
          <w:rFonts w:ascii="Times New Roman" w:hAnsi="Times New Roman" w:cs="Times New Roman"/>
          <w:sz w:val="24"/>
          <w:szCs w:val="24"/>
        </w:rPr>
        <w:t>Art. 2</w:t>
      </w:r>
      <w:bookmarkEnd w:id="2"/>
    </w:p>
    <w:p w:rsidR="002D3F0A" w:rsidRPr="004B4820" w:rsidRDefault="002D3F0A" w:rsidP="00446AE2">
      <w:pPr>
        <w:pStyle w:val="BodyText"/>
        <w:numPr>
          <w:ilvl w:val="0"/>
          <w:numId w:val="4"/>
        </w:numPr>
        <w:tabs>
          <w:tab w:val="left" w:pos="403"/>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încălcarea prevederilor Regulamentului (UE) nr. 2014/910, cu modificările și completările ulterioare și ale Legii nr. 214/2024 privind utilizarea semnăturii electronice, a mărcii temporale și prestarea serviciilor de încredere bazate pe acestea atrage răspunderea disciplinară, civilă, contravențională sau penală, după caz.</w:t>
      </w:r>
    </w:p>
    <w:p w:rsidR="002D3F0A" w:rsidRPr="004B4820" w:rsidRDefault="002D3F0A" w:rsidP="00446AE2">
      <w:pPr>
        <w:pStyle w:val="BodyText"/>
        <w:numPr>
          <w:ilvl w:val="0"/>
          <w:numId w:val="4"/>
        </w:numPr>
        <w:tabs>
          <w:tab w:val="left" w:pos="399"/>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Sancțiunile și contravențiile se aplică conform prevederilor art. 16 din Regulamentul (UE) nr. 2014/910, cu modificările și completările ulterioare și conform art. 27-32 din Legea nr. 214/2024 privind utilizarea semnăturii electronice, a mărcii temporale și prestarea serviciilor de încredere bazate pe acestea.</w:t>
      </w:r>
    </w:p>
    <w:p w:rsidR="002D3F0A" w:rsidRPr="004B4820" w:rsidRDefault="002D3F0A" w:rsidP="00446AE2">
      <w:pPr>
        <w:pStyle w:val="BodyText"/>
        <w:numPr>
          <w:ilvl w:val="0"/>
          <w:numId w:val="4"/>
        </w:numPr>
        <w:tabs>
          <w:tab w:val="left" w:pos="390"/>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Aplicarea sancțiunilor se efectuează conform art. 33 din Legea nr. 214/2024 privind utilizarea semnăturii electronice, a mărcii temporale și prestarea serviciilor de încredere bazate pe acestea.</w:t>
      </w:r>
    </w:p>
    <w:p w:rsidR="002D3F0A" w:rsidRPr="004B4820" w:rsidRDefault="002D3F0A" w:rsidP="00446AE2">
      <w:pPr>
        <w:pStyle w:val="Heading30"/>
        <w:keepNext/>
        <w:keepLines/>
        <w:spacing w:line="360" w:lineRule="auto"/>
        <w:jc w:val="both"/>
        <w:rPr>
          <w:rFonts w:ascii="Times New Roman" w:hAnsi="Times New Roman" w:cs="Times New Roman"/>
          <w:sz w:val="24"/>
          <w:szCs w:val="24"/>
        </w:rPr>
      </w:pPr>
      <w:bookmarkStart w:id="3" w:name="bookmark6"/>
      <w:r w:rsidRPr="004B4820">
        <w:rPr>
          <w:rStyle w:val="Heading3"/>
          <w:rFonts w:ascii="Times New Roman" w:hAnsi="Times New Roman" w:cs="Times New Roman"/>
          <w:sz w:val="24"/>
          <w:szCs w:val="24"/>
        </w:rPr>
        <w:t>Art. 3</w:t>
      </w:r>
      <w:bookmarkEnd w:id="3"/>
    </w:p>
    <w:p w:rsidR="002D3F0A" w:rsidRPr="004B4820" w:rsidRDefault="002D3F0A" w:rsidP="00446AE2">
      <w:pPr>
        <w:pStyle w:val="BodyText"/>
        <w:numPr>
          <w:ilvl w:val="0"/>
          <w:numId w:val="5"/>
        </w:numPr>
        <w:tabs>
          <w:tab w:val="left" w:pos="696"/>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Prezentul ordin intră în vigoare în termen de 90 de zile de la publicarea în Monitorul Oficial.</w:t>
      </w:r>
    </w:p>
    <w:p w:rsidR="002D3F0A" w:rsidRPr="004B4820" w:rsidRDefault="002D3F0A" w:rsidP="00446AE2">
      <w:pPr>
        <w:pStyle w:val="BodyText"/>
        <w:numPr>
          <w:ilvl w:val="0"/>
          <w:numId w:val="5"/>
        </w:numPr>
        <w:tabs>
          <w:tab w:val="left" w:pos="696"/>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Prestatorii de servicii de încredere care prestează servicii de încredere la data publicării prezentului ordin în Monitorul Oficial al României, Partea I, au obligația de a transmite Autorității pentru Digitalizarea României documentația actualizată conform prezentelor proceduri prevăzute la art. 1 alin. 2 în termen de 90 de zile de la intrarea în vigoare a acestora.</w:t>
      </w:r>
    </w:p>
    <w:p w:rsidR="002D3F0A" w:rsidRPr="004B4820" w:rsidRDefault="002D3F0A" w:rsidP="00446AE2">
      <w:pPr>
        <w:pStyle w:val="Heading30"/>
        <w:keepNext/>
        <w:keepLines/>
        <w:spacing w:line="360" w:lineRule="auto"/>
        <w:jc w:val="both"/>
        <w:rPr>
          <w:rFonts w:ascii="Times New Roman" w:hAnsi="Times New Roman" w:cs="Times New Roman"/>
          <w:sz w:val="24"/>
          <w:szCs w:val="24"/>
        </w:rPr>
      </w:pPr>
      <w:bookmarkStart w:id="4" w:name="bookmark8"/>
      <w:r w:rsidRPr="004B4820">
        <w:rPr>
          <w:rStyle w:val="Heading3"/>
          <w:rFonts w:ascii="Times New Roman" w:hAnsi="Times New Roman" w:cs="Times New Roman"/>
          <w:sz w:val="24"/>
          <w:szCs w:val="24"/>
        </w:rPr>
        <w:t>Art. 4</w:t>
      </w:r>
      <w:bookmarkEnd w:id="4"/>
    </w:p>
    <w:p w:rsidR="002D3F0A" w:rsidRPr="004B4820" w:rsidRDefault="002D3F0A" w:rsidP="00446AE2">
      <w:pPr>
        <w:pStyle w:val="BodyText"/>
        <w:spacing w:line="360" w:lineRule="auto"/>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 xml:space="preserve">La data intrării în vigoare a prezentului ordin se abrogă Ordinul nr. 449 din 30 mai 2017 privind procedura de acordare, suspendare și retragere a statutului de prestator de servicii de </w:t>
      </w:r>
      <w:r w:rsidRPr="004B4820">
        <w:rPr>
          <w:rStyle w:val="BodyTextChar"/>
          <w:rFonts w:ascii="Times New Roman" w:hAnsi="Times New Roman" w:cs="Times New Roman"/>
          <w:color w:val="auto"/>
          <w:sz w:val="24"/>
          <w:szCs w:val="24"/>
        </w:rPr>
        <w:lastRenderedPageBreak/>
        <w:t>încredere calificat în conformitate cu Regulamentul (UE) nr. 910/2014 al Parlamentului European și al Consiliului din 23 iulie 2014.</w:t>
      </w:r>
    </w:p>
    <w:p w:rsidR="002D3F0A" w:rsidRPr="004B4820" w:rsidRDefault="002D3F0A" w:rsidP="00446AE2">
      <w:pPr>
        <w:pStyle w:val="BodyText"/>
        <w:spacing w:line="360" w:lineRule="auto"/>
        <w:jc w:val="both"/>
        <w:rPr>
          <w:rStyle w:val="BodyTextChar"/>
          <w:rFonts w:ascii="Times New Roman" w:hAnsi="Times New Roman" w:cs="Times New Roman"/>
          <w:color w:val="auto"/>
          <w:sz w:val="24"/>
          <w:szCs w:val="24"/>
        </w:rPr>
      </w:pPr>
    </w:p>
    <w:p w:rsidR="002D3F0A" w:rsidRPr="004B4820" w:rsidRDefault="002D3F0A" w:rsidP="00446AE2">
      <w:pPr>
        <w:pStyle w:val="BodyText"/>
        <w:spacing w:line="360" w:lineRule="auto"/>
        <w:jc w:val="both"/>
        <w:rPr>
          <w:rStyle w:val="BodyTextChar"/>
          <w:rFonts w:ascii="Times New Roman" w:hAnsi="Times New Roman" w:cs="Times New Roman"/>
          <w:color w:val="auto"/>
          <w:sz w:val="24"/>
          <w:szCs w:val="24"/>
        </w:rPr>
      </w:pPr>
    </w:p>
    <w:p w:rsidR="002D3F0A" w:rsidRPr="004B4820" w:rsidRDefault="002D3F0A" w:rsidP="00446AE2">
      <w:pPr>
        <w:tabs>
          <w:tab w:val="left" w:pos="945"/>
        </w:tabs>
        <w:spacing w:line="360" w:lineRule="auto"/>
        <w:ind w:left="992" w:hanging="1277"/>
        <w:jc w:val="center"/>
        <w:rPr>
          <w:rFonts w:ascii="Times New Roman" w:hAnsi="Times New Roman" w:cs="Times New Roman"/>
          <w:color w:val="auto"/>
        </w:rPr>
      </w:pPr>
    </w:p>
    <w:p w:rsidR="002D3F0A" w:rsidRPr="004B4820" w:rsidRDefault="002D3F0A" w:rsidP="00446AE2">
      <w:pPr>
        <w:tabs>
          <w:tab w:val="left" w:pos="945"/>
        </w:tabs>
        <w:spacing w:line="360" w:lineRule="auto"/>
        <w:ind w:left="992" w:hanging="1277"/>
        <w:jc w:val="center"/>
        <w:rPr>
          <w:rFonts w:ascii="Times New Roman" w:hAnsi="Times New Roman" w:cs="Times New Roman"/>
          <w:b/>
          <w:bCs/>
          <w:color w:val="auto"/>
        </w:rPr>
      </w:pPr>
      <w:r w:rsidRPr="004B4820">
        <w:rPr>
          <w:rFonts w:ascii="Times New Roman" w:hAnsi="Times New Roman" w:cs="Times New Roman"/>
          <w:b/>
          <w:bCs/>
          <w:color w:val="auto"/>
        </w:rPr>
        <w:t>Ministru</w:t>
      </w:r>
    </w:p>
    <w:p w:rsidR="002D3F0A" w:rsidRPr="004B4820" w:rsidRDefault="002D3F0A" w:rsidP="00446AE2">
      <w:pPr>
        <w:tabs>
          <w:tab w:val="left" w:pos="945"/>
        </w:tabs>
        <w:spacing w:line="360" w:lineRule="auto"/>
        <w:ind w:left="992" w:hanging="1277"/>
        <w:jc w:val="center"/>
        <w:rPr>
          <w:rFonts w:ascii="Times New Roman" w:hAnsi="Times New Roman" w:cs="Times New Roman"/>
          <w:color w:val="auto"/>
        </w:rPr>
      </w:pPr>
    </w:p>
    <w:p w:rsidR="002D3F0A" w:rsidRPr="004B4820" w:rsidRDefault="002D3F0A" w:rsidP="00446AE2">
      <w:pPr>
        <w:tabs>
          <w:tab w:val="left" w:pos="945"/>
        </w:tabs>
        <w:spacing w:line="360" w:lineRule="auto"/>
        <w:ind w:left="992" w:hanging="1277"/>
        <w:jc w:val="center"/>
        <w:rPr>
          <w:rFonts w:ascii="Times New Roman" w:hAnsi="Times New Roman" w:cs="Times New Roman"/>
          <w:b/>
          <w:bCs/>
          <w:color w:val="auto"/>
          <w:lang w:val="en-US"/>
        </w:rPr>
      </w:pPr>
      <w:r w:rsidRPr="004B4820">
        <w:rPr>
          <w:rFonts w:ascii="Times New Roman" w:hAnsi="Times New Roman" w:cs="Times New Roman"/>
          <w:color w:val="auto"/>
        </w:rPr>
        <w:t xml:space="preserve"> </w:t>
      </w:r>
      <w:r w:rsidRPr="004B4820">
        <w:rPr>
          <w:rFonts w:ascii="Times New Roman" w:hAnsi="Times New Roman" w:cs="Times New Roman"/>
          <w:b/>
          <w:bCs/>
          <w:color w:val="auto"/>
          <w:lang w:val="en-US"/>
        </w:rPr>
        <w:t>Bogdan-</w:t>
      </w:r>
      <w:proofErr w:type="spellStart"/>
      <w:r w:rsidRPr="004B4820">
        <w:rPr>
          <w:rFonts w:ascii="Times New Roman" w:hAnsi="Times New Roman" w:cs="Times New Roman"/>
          <w:b/>
          <w:bCs/>
          <w:color w:val="auto"/>
          <w:lang w:val="en-US"/>
        </w:rPr>
        <w:t>Gruia</w:t>
      </w:r>
      <w:proofErr w:type="spellEnd"/>
      <w:r w:rsidRPr="004B4820">
        <w:rPr>
          <w:rFonts w:ascii="Times New Roman" w:hAnsi="Times New Roman" w:cs="Times New Roman"/>
          <w:b/>
          <w:bCs/>
          <w:color w:val="auto"/>
          <w:lang w:val="en-US"/>
        </w:rPr>
        <w:t xml:space="preserve"> IVAN</w:t>
      </w:r>
    </w:p>
    <w:p w:rsidR="00961438" w:rsidRPr="004B4820" w:rsidRDefault="00961438"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4D0922" w:rsidRPr="004B4820" w:rsidRDefault="004D0922" w:rsidP="00446AE2">
      <w:pPr>
        <w:spacing w:line="360" w:lineRule="auto"/>
        <w:rPr>
          <w:rFonts w:ascii="Times New Roman" w:hAnsi="Times New Roman" w:cs="Times New Roman"/>
          <w:color w:val="auto"/>
        </w:rPr>
      </w:pPr>
    </w:p>
    <w:p w:rsidR="003A7E22" w:rsidRPr="004B4820" w:rsidRDefault="003A7E2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46AE2" w:rsidRPr="004B4820" w:rsidRDefault="00446AE2" w:rsidP="00446AE2">
      <w:pPr>
        <w:spacing w:line="360" w:lineRule="auto"/>
        <w:jc w:val="both"/>
        <w:rPr>
          <w:rFonts w:ascii="Times New Roman" w:eastAsia="Trebuchet MS" w:hAnsi="Times New Roman" w:cs="Times New Roman"/>
          <w:b/>
          <w:bCs/>
          <w:color w:val="auto"/>
          <w:lang w:eastAsia="en-US"/>
        </w:rPr>
      </w:pPr>
    </w:p>
    <w:p w:rsidR="004D0922" w:rsidRPr="004B4820" w:rsidRDefault="004D0922" w:rsidP="00E46DE6">
      <w:pPr>
        <w:spacing w:line="360" w:lineRule="auto"/>
        <w:jc w:val="both"/>
        <w:rPr>
          <w:rFonts w:ascii="Times New Roman" w:eastAsia="Trebuchet MS" w:hAnsi="Times New Roman" w:cs="Times New Roman"/>
          <w:b/>
          <w:bCs/>
          <w:color w:val="auto"/>
          <w:lang w:eastAsia="en-US"/>
        </w:rPr>
      </w:pPr>
      <w:r w:rsidRPr="004B4820">
        <w:rPr>
          <w:rFonts w:ascii="Times New Roman" w:eastAsia="Trebuchet MS" w:hAnsi="Times New Roman" w:cs="Times New Roman"/>
          <w:b/>
          <w:bCs/>
          <w:color w:val="auto"/>
          <w:lang w:eastAsia="en-US"/>
        </w:rPr>
        <w:lastRenderedPageBreak/>
        <w:t>Anexa nr. 1</w:t>
      </w:r>
    </w:p>
    <w:p w:rsidR="00446AE2" w:rsidRPr="004B4820" w:rsidRDefault="00446AE2" w:rsidP="00E46DE6">
      <w:pPr>
        <w:spacing w:line="360" w:lineRule="auto"/>
        <w:jc w:val="both"/>
        <w:rPr>
          <w:rFonts w:ascii="Times New Roman" w:eastAsia="Trebuchet MS" w:hAnsi="Times New Roman" w:cs="Times New Roman"/>
          <w:color w:val="auto"/>
          <w:lang w:eastAsia="en-US"/>
        </w:rPr>
      </w:pPr>
    </w:p>
    <w:p w:rsidR="004D0922" w:rsidRPr="004B4820" w:rsidRDefault="004D0922" w:rsidP="00E46DE6">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b/>
          <w:bCs/>
          <w:color w:val="auto"/>
          <w:lang w:eastAsia="en-US"/>
        </w:rPr>
        <w:t>PROCEDURA de acordare, suspendare și retragere a statutu</w:t>
      </w:r>
      <w:r w:rsidR="00446AE2" w:rsidRPr="004B4820">
        <w:rPr>
          <w:rFonts w:ascii="Times New Roman" w:eastAsia="Trebuchet MS" w:hAnsi="Times New Roman" w:cs="Times New Roman"/>
          <w:b/>
          <w:bCs/>
          <w:color w:val="auto"/>
          <w:lang w:eastAsia="en-US"/>
        </w:rPr>
        <w:t xml:space="preserve">lui de prestator de servicii de </w:t>
      </w:r>
      <w:r w:rsidRPr="004B4820">
        <w:rPr>
          <w:rFonts w:ascii="Times New Roman" w:eastAsia="Trebuchet MS" w:hAnsi="Times New Roman" w:cs="Times New Roman"/>
          <w:b/>
          <w:bCs/>
          <w:color w:val="auto"/>
          <w:lang w:eastAsia="en-US"/>
        </w:rPr>
        <w:t>încredere calificat</w:t>
      </w:r>
    </w:p>
    <w:p w:rsidR="004D0922" w:rsidRPr="004B4820" w:rsidRDefault="004D0922" w:rsidP="00E46DE6">
      <w:pPr>
        <w:keepNext/>
        <w:keepLines/>
        <w:spacing w:line="360" w:lineRule="auto"/>
        <w:jc w:val="both"/>
        <w:outlineLvl w:val="2"/>
        <w:rPr>
          <w:rFonts w:ascii="Times New Roman" w:eastAsia="Trebuchet MS" w:hAnsi="Times New Roman" w:cs="Times New Roman"/>
          <w:b/>
          <w:bCs/>
          <w:color w:val="auto"/>
          <w:lang w:eastAsia="en-US"/>
        </w:rPr>
      </w:pPr>
      <w:bookmarkStart w:id="5" w:name="bookmark10"/>
      <w:r w:rsidRPr="004B4820">
        <w:rPr>
          <w:rFonts w:ascii="Times New Roman" w:eastAsia="Trebuchet MS" w:hAnsi="Times New Roman" w:cs="Times New Roman"/>
          <w:b/>
          <w:color w:val="auto"/>
          <w:lang w:eastAsia="en-US"/>
        </w:rPr>
        <w:t>Art. 1</w:t>
      </w:r>
      <w:bookmarkEnd w:id="5"/>
    </w:p>
    <w:p w:rsidR="004D0922" w:rsidRPr="004B4820" w:rsidRDefault="004D0922" w:rsidP="00E46DE6">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în îndeplinirea rolului prevăzut la </w:t>
      </w:r>
      <w:r w:rsidRPr="004B4820">
        <w:rPr>
          <w:rFonts w:ascii="Times New Roman" w:eastAsia="Trebuchet MS" w:hAnsi="Times New Roman" w:cs="Times New Roman"/>
          <w:color w:val="auto"/>
          <w:u w:val="single"/>
          <w:lang w:eastAsia="en-US"/>
        </w:rPr>
        <w:t>art. 19 d</w:t>
      </w:r>
      <w:r w:rsidRPr="004B4820">
        <w:rPr>
          <w:rFonts w:ascii="Times New Roman" w:eastAsia="Trebuchet MS" w:hAnsi="Times New Roman" w:cs="Times New Roman"/>
          <w:color w:val="auto"/>
          <w:lang w:eastAsia="en-US"/>
        </w:rPr>
        <w:t>in Legea nr. 214/2024 privind utilizarea semnăturii electronice, a mărcii temporale și prestarea serviciilor de încredere bazate pe acestea, ADR:</w:t>
      </w:r>
    </w:p>
    <w:p w:rsidR="004D0922" w:rsidRPr="004B4820" w:rsidRDefault="004D0922" w:rsidP="00E46DE6">
      <w:pPr>
        <w:numPr>
          <w:ilvl w:val="0"/>
          <w:numId w:val="9"/>
        </w:num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acordă sau retrage statutul de prestator de servicii de încredere calificat;</w:t>
      </w:r>
    </w:p>
    <w:p w:rsidR="004D0922" w:rsidRPr="004B4820" w:rsidRDefault="004D0922" w:rsidP="00E46DE6">
      <w:pPr>
        <w:numPr>
          <w:ilvl w:val="0"/>
          <w:numId w:val="9"/>
        </w:num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asigură că prestatorii de servicii de încredere calificate stabiliți pe teritoriul României și serviciile de încredere calificate pe care aceștia le prestează îndeplinesc cerințele stabilite de Regulamentul (UE) nr. 910/2014, cu modificările și completările ulterioare și de Legea nr. 214/2024;</w:t>
      </w:r>
    </w:p>
    <w:p w:rsidR="004D0922" w:rsidRPr="004B4820" w:rsidRDefault="004D0922" w:rsidP="00E46DE6">
      <w:pPr>
        <w:numPr>
          <w:ilvl w:val="0"/>
          <w:numId w:val="9"/>
        </w:num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solicită prestatorilor de servicii de încredere să remedieze orice neîndeplinire a cerințelor prevăzute de Regulamentul (UE) nr. 910/2014, cu modificările și completările ulterioare și de Legea nr. 214/2024 privind utilizarea semnăturii electronice, a mărcii temporale și prestarea serviciilor de încredere bazate pe acestea.</w:t>
      </w:r>
    </w:p>
    <w:p w:rsidR="004D0922" w:rsidRPr="004B4820" w:rsidRDefault="004D0922" w:rsidP="00E46DE6">
      <w:pPr>
        <w:keepNext/>
        <w:keepLines/>
        <w:spacing w:line="360" w:lineRule="auto"/>
        <w:jc w:val="both"/>
        <w:outlineLvl w:val="2"/>
        <w:rPr>
          <w:rFonts w:ascii="Times New Roman" w:eastAsia="Trebuchet MS" w:hAnsi="Times New Roman" w:cs="Times New Roman"/>
          <w:b/>
          <w:bCs/>
          <w:color w:val="auto"/>
          <w:lang w:eastAsia="en-US"/>
        </w:rPr>
      </w:pPr>
      <w:bookmarkStart w:id="6" w:name="bookmark12"/>
      <w:r w:rsidRPr="004B4820">
        <w:rPr>
          <w:rFonts w:ascii="Times New Roman" w:eastAsia="Trebuchet MS" w:hAnsi="Times New Roman" w:cs="Times New Roman"/>
          <w:b/>
          <w:color w:val="auto"/>
          <w:lang w:eastAsia="en-US"/>
        </w:rPr>
        <w:t>Art. 2</w:t>
      </w:r>
      <w:bookmarkEnd w:id="6"/>
    </w:p>
    <w:p w:rsidR="004D0922" w:rsidRPr="004B4820" w:rsidRDefault="004D0922" w:rsidP="00E46DE6">
      <w:pPr>
        <w:numPr>
          <w:ilvl w:val="0"/>
          <w:numId w:val="6"/>
        </w:numPr>
        <w:tabs>
          <w:tab w:val="left" w:pos="40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Persoanele juridice care intenționează să presteze servicii de încredere calificate, inclusiv cele care intenționează să presteze servicii de încredere în cadrul sistemelor închise, transmit, cu 30 de zile înainte de începerea activității, autorității de reglementare și supraveghere specializate în domeniu o notificare a intenției acestora, în vederea înregistrării în Registrul prestatorilor de servicii de încredere calificați prevăzut la art. 21 din Legea nr. 214/2024.</w:t>
      </w:r>
    </w:p>
    <w:p w:rsidR="004D0922" w:rsidRPr="004B4820" w:rsidRDefault="004D0922" w:rsidP="00E46DE6">
      <w:pPr>
        <w:numPr>
          <w:ilvl w:val="0"/>
          <w:numId w:val="6"/>
        </w:numPr>
        <w:tabs>
          <w:tab w:val="left" w:pos="38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Notificarea prevăzută în Anexa nr. 1.1 trebuie să fie însoțită de următoarele documente:</w:t>
      </w:r>
    </w:p>
    <w:p w:rsidR="004D0922" w:rsidRPr="004B4820" w:rsidRDefault="004D0922" w:rsidP="00E46DE6">
      <w:pPr>
        <w:numPr>
          <w:ilvl w:val="0"/>
          <w:numId w:val="7"/>
        </w:numPr>
        <w:tabs>
          <w:tab w:val="left" w:pos="79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un raport de evaluare a conformității, emis de un organism de evaluare a conformității; prevăzut în Anexa nr. 1.2, precum și toate informațiile referitoare la procedurile de securitate și de certificare utilizate;</w:t>
      </w:r>
    </w:p>
    <w:p w:rsidR="004D0922" w:rsidRPr="004B4820" w:rsidRDefault="004D0922" w:rsidP="00E46DE6">
      <w:pPr>
        <w:numPr>
          <w:ilvl w:val="0"/>
          <w:numId w:val="7"/>
        </w:numPr>
        <w:tabs>
          <w:tab w:val="left" w:pos="79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o scrisoare de garanție din partea unei instituții financiar-bancare sau o poliță de asigurare de răspundere civilă pentru riscurile legate de prestarea fiecărui serviciu de încredere pentru care se solicită acordarea statutului calificat, în valoare de 500.000 euro pentru fiecare serviciu de încredere, cesionată în favoarea organismului de supraveghere;</w:t>
      </w:r>
    </w:p>
    <w:p w:rsidR="004D0922" w:rsidRPr="004B4820" w:rsidRDefault="004D0922" w:rsidP="00E46DE6">
      <w:pPr>
        <w:numPr>
          <w:ilvl w:val="0"/>
          <w:numId w:val="7"/>
        </w:numPr>
        <w:tabs>
          <w:tab w:val="left" w:pos="81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descrierea soluției tehnice;</w:t>
      </w:r>
    </w:p>
    <w:p w:rsidR="004D0922" w:rsidRPr="004B4820" w:rsidRDefault="004D0922" w:rsidP="00E46DE6">
      <w:pPr>
        <w:numPr>
          <w:ilvl w:val="0"/>
          <w:numId w:val="7"/>
        </w:numPr>
        <w:tabs>
          <w:tab w:val="left" w:pos="8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lastRenderedPageBreak/>
        <w:t>declarația pe propria răspundere a reprezentantului legal al prestatorului cu privire la respectarea, în cadrul procesului de furnizare a instrumentelor de plată electronică cu acces la distanță, a cerințelor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4D0922" w:rsidRPr="004B4820" w:rsidRDefault="004D0922" w:rsidP="00E46DE6">
      <w:pPr>
        <w:numPr>
          <w:ilvl w:val="0"/>
          <w:numId w:val="7"/>
        </w:numPr>
        <w:tabs>
          <w:tab w:val="left" w:pos="81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planul de securitate al sistemului informatic utilizat;</w:t>
      </w:r>
    </w:p>
    <w:p w:rsidR="004D0922" w:rsidRPr="004B4820" w:rsidRDefault="004D0922" w:rsidP="00E46DE6">
      <w:pPr>
        <w:numPr>
          <w:ilvl w:val="0"/>
          <w:numId w:val="7"/>
        </w:numPr>
        <w:tabs>
          <w:tab w:val="left" w:pos="81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linkuri la politicile, practicile și procedurile de prestare a serviciilor de încredere calificate;</w:t>
      </w:r>
    </w:p>
    <w:p w:rsidR="004D0922" w:rsidRPr="004B4820" w:rsidRDefault="004D0922" w:rsidP="00E46DE6">
      <w:pPr>
        <w:numPr>
          <w:ilvl w:val="0"/>
          <w:numId w:val="7"/>
        </w:numPr>
        <w:tabs>
          <w:tab w:val="left" w:pos="8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arhitectura detaliată a serviciului de încredere (de exemplu, ierarhia PKI - infrastructura cheii publice, împreună cu indicarea politicilor de servicii de încredere sprijinite) pentru care se solicită un statut calificat;</w:t>
      </w:r>
    </w:p>
    <w:p w:rsidR="004D0922" w:rsidRPr="004B4820" w:rsidRDefault="004D0922" w:rsidP="00E46DE6">
      <w:pPr>
        <w:numPr>
          <w:ilvl w:val="0"/>
          <w:numId w:val="7"/>
        </w:numPr>
        <w:tabs>
          <w:tab w:val="left" w:pos="8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termenii și condițiile pe care prestatorul de servicii de încredere calificat le va semna cu utilizatorul final;</w:t>
      </w:r>
    </w:p>
    <w:p w:rsidR="004D0922" w:rsidRPr="004B4820" w:rsidRDefault="004D0922" w:rsidP="00E46DE6">
      <w:pPr>
        <w:numPr>
          <w:ilvl w:val="0"/>
          <w:numId w:val="7"/>
        </w:numPr>
        <w:tabs>
          <w:tab w:val="left" w:pos="8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datele de contact ale prestatorului de servicii de încredere (e-mail, număr de telefon, site web);</w:t>
      </w:r>
    </w:p>
    <w:p w:rsidR="004D0922" w:rsidRPr="004B4820" w:rsidRDefault="004D0922" w:rsidP="00E46DE6">
      <w:pPr>
        <w:numPr>
          <w:ilvl w:val="0"/>
          <w:numId w:val="7"/>
        </w:numPr>
        <w:tabs>
          <w:tab w:val="left" w:pos="8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actul constitutiv al prestatorului de servicii de încredere din care să rezulte că are specificată în obiectul de activitate desfășurarea de activități în domeniile tehnologiei informației sau serviciilor informaționale;</w:t>
      </w:r>
    </w:p>
    <w:p w:rsidR="004D0922" w:rsidRPr="004B4820" w:rsidRDefault="004D0922" w:rsidP="00E46DE6">
      <w:pPr>
        <w:numPr>
          <w:ilvl w:val="0"/>
          <w:numId w:val="7"/>
        </w:numPr>
        <w:tabs>
          <w:tab w:val="left" w:pos="81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împuternicire pentru persoana delegată să semneze în numele administratorului;</w:t>
      </w:r>
    </w:p>
    <w:p w:rsidR="004D0922" w:rsidRPr="004B4820" w:rsidRDefault="004D0922" w:rsidP="00E46DE6">
      <w:pPr>
        <w:numPr>
          <w:ilvl w:val="0"/>
          <w:numId w:val="7"/>
        </w:numPr>
        <w:tabs>
          <w:tab w:val="left" w:pos="8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dovezi că prestatorul de servicii de încredere deține resurse financiare suficiente și a obținut o asigurare de răspundere corespunzătoare în ceea ce privește prestarea serviciilor de încredere pentru care se solicită un statut calificat, incluzând copii al contului de profit și pierdere și ale balanței contabile pentru ultimii 3 ani pentru conturile care au fost înscrise; în lipsa acesteia, declarații bancare corespunzătoare;</w:t>
      </w:r>
    </w:p>
    <w:p w:rsidR="004D0922" w:rsidRPr="004B4820" w:rsidRDefault="004D0922" w:rsidP="00E46DE6">
      <w:pPr>
        <w:numPr>
          <w:ilvl w:val="0"/>
          <w:numId w:val="7"/>
        </w:numPr>
        <w:tabs>
          <w:tab w:val="left" w:pos="84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 de continuitate a afacerii și recuperare în caz de dezastru;</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lista standardelor în baza cărora operațiile sunt efectuate, auditate, evaluate sau certificate pentru a fi conforme;</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certificat de conformitate pentru dispozitivele de creare a semnăturii electronice și a sigiliului electronic în concordanță cu cerințele Regulamentului (UE) nr. 910/2014, cu modificările și completările ulterioare și ale Deciziei Comisiei de punere în aplicare (UE) nr. </w:t>
      </w:r>
      <w:r w:rsidRPr="004B4820">
        <w:rPr>
          <w:rFonts w:ascii="Times New Roman" w:eastAsia="Trebuchet MS" w:hAnsi="Times New Roman" w:cs="Times New Roman"/>
          <w:color w:val="auto"/>
          <w:lang w:eastAsia="en-US"/>
        </w:rPr>
        <w:lastRenderedPageBreak/>
        <w:t>650/2016.</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modelul notificării organismului de supraveghere și prezentarea măsurilor tehnice și organizaționale luate pentru gestionarea riscurilor la adresa securității serviciilor de încredere, menite să sprijine demonstrarea cerinței art. 19.1 din Regulamentul (UE) nr. 910/2014;</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procedura de notificare a autorității de supraveghere și protecția datelor cu caracter personal privind încălcarea securității sau pierderea integrității care are un impact semnificativ asupra serviciului de încredere prestat sau asupra datelor cu caracter personal păstrate de prestatorul de servicii menită să sprijine demonstrarea cerinței art. 19.2 din Regulamentul (UE) nr. 910/2014, cu modificările și completările ulterioare;</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planul de încetare a activității în conformitate cu cerințele art. 24.2. (i) din Regulamentul (UE) nr. 910/2014, cu modificările și completările ulterioare;</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adresa WEB a prestatorului;</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ordinul de acreditare ca administrator de arhivă electronică, în conformitate cu prevederile Legii nr. 135/2007 privind arhivarea documentelor electronice, sau contractul încheiat cu un administrator de arhivă electronică acreditat;</w:t>
      </w:r>
    </w:p>
    <w:p w:rsidR="004D0922" w:rsidRPr="004B4820" w:rsidRDefault="004D0922" w:rsidP="00E46DE6">
      <w:pPr>
        <w:numPr>
          <w:ilvl w:val="0"/>
          <w:numId w:val="7"/>
        </w:numPr>
        <w:tabs>
          <w:tab w:val="left" w:pos="85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minim două surse de timp precise, legate de ora universală.</w:t>
      </w:r>
    </w:p>
    <w:p w:rsidR="004D0922" w:rsidRPr="004B4820" w:rsidRDefault="004D0922" w:rsidP="00E46DE6">
      <w:pPr>
        <w:numPr>
          <w:ilvl w:val="0"/>
          <w:numId w:val="6"/>
        </w:numPr>
        <w:tabs>
          <w:tab w:val="left" w:pos="39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Toate documentele atașate notificării vor fi semnate/confirmate de către administratorul prestatorului sau de către o persoană împuternicită de către acesta în scris.</w:t>
      </w:r>
    </w:p>
    <w:p w:rsidR="004D0922" w:rsidRPr="004B4820" w:rsidRDefault="004D0922" w:rsidP="00E46DE6">
      <w:pPr>
        <w:numPr>
          <w:ilvl w:val="0"/>
          <w:numId w:val="6"/>
        </w:numPr>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Notificarea și documentele atașate pot fi semnate și electronic folosind un sigiliu electronic calificat al persoanei juridice sau folosind o semnătură electronică calificată de către administratorul acesteia și transmise prin e-mail la adresa indicată de către organismul de supraveghere.</w:t>
      </w:r>
    </w:p>
    <w:p w:rsidR="004D0922" w:rsidRPr="004B4820" w:rsidRDefault="004D0922" w:rsidP="00E46DE6">
      <w:pPr>
        <w:keepNext/>
        <w:keepLines/>
        <w:numPr>
          <w:ilvl w:val="0"/>
          <w:numId w:val="6"/>
        </w:numPr>
        <w:tabs>
          <w:tab w:val="left" w:pos="41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 termen de 30 de zile de la primirea notificării transmise de către persoanele juridice care intenționează să presteze servicii de încredere calificate, dacă acestea îndeplinesc condițiile legale pentru prestarea serviciilor de încredere, ADR înregistrează prestatorul de servicii de încredere calificat în Lista sigură (</w:t>
      </w:r>
      <w:proofErr w:type="spellStart"/>
      <w:r w:rsidRPr="004B4820">
        <w:rPr>
          <w:rFonts w:ascii="Times New Roman" w:eastAsia="Trebuchet MS" w:hAnsi="Times New Roman" w:cs="Times New Roman"/>
          <w:color w:val="auto"/>
          <w:lang w:eastAsia="en-US"/>
        </w:rPr>
        <w:t>Trusted</w:t>
      </w:r>
      <w:proofErr w:type="spellEnd"/>
      <w:r w:rsidRPr="004B4820">
        <w:rPr>
          <w:rFonts w:ascii="Times New Roman" w:eastAsia="Trebuchet MS" w:hAnsi="Times New Roman" w:cs="Times New Roman"/>
          <w:color w:val="auto"/>
          <w:lang w:eastAsia="en-US"/>
        </w:rPr>
        <w:t xml:space="preserve"> </w:t>
      </w:r>
      <w:proofErr w:type="spellStart"/>
      <w:r w:rsidRPr="004B4820">
        <w:rPr>
          <w:rFonts w:ascii="Times New Roman" w:eastAsia="Trebuchet MS" w:hAnsi="Times New Roman" w:cs="Times New Roman"/>
          <w:color w:val="auto"/>
          <w:lang w:eastAsia="en-US"/>
        </w:rPr>
        <w:t>List</w:t>
      </w:r>
      <w:proofErr w:type="spellEnd"/>
      <w:r w:rsidRPr="004B4820">
        <w:rPr>
          <w:rFonts w:ascii="Times New Roman" w:eastAsia="Trebuchet MS" w:hAnsi="Times New Roman" w:cs="Times New Roman"/>
          <w:color w:val="auto"/>
          <w:lang w:eastAsia="en-US"/>
        </w:rPr>
        <w:t>).</w:t>
      </w:r>
      <w:bookmarkStart w:id="7" w:name="bookmark14"/>
    </w:p>
    <w:p w:rsidR="004D0922" w:rsidRPr="004B4820" w:rsidRDefault="004D0922" w:rsidP="00E46DE6">
      <w:pPr>
        <w:keepNext/>
        <w:keepLines/>
        <w:tabs>
          <w:tab w:val="left" w:pos="41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b/>
          <w:bCs/>
          <w:color w:val="auto"/>
          <w:lang w:eastAsia="en-US"/>
        </w:rPr>
        <w:t>Art. 3</w:t>
      </w:r>
      <w:bookmarkEnd w:id="7"/>
    </w:p>
    <w:p w:rsidR="004D0922" w:rsidRPr="004B4820" w:rsidRDefault="004D0922" w:rsidP="00E46DE6">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Prestatorii de servicii de încredere calificate sunt evaluați, pe propria cheltuială, cel puțin la fiecare 24 de luni, de către un organism de evaluare a conformității. Evaluarea conformității atestă că prestatorii de servicii de încredere calificate și serviciile de încredere calificate pe care le prestează îndeplinesc cerințele prevăzute în Regulamentul (UE) nr. 2014/910, cu </w:t>
      </w:r>
      <w:r w:rsidRPr="004B4820">
        <w:rPr>
          <w:rFonts w:ascii="Times New Roman" w:eastAsia="Trebuchet MS" w:hAnsi="Times New Roman" w:cs="Times New Roman"/>
          <w:color w:val="auto"/>
          <w:lang w:eastAsia="en-US"/>
        </w:rPr>
        <w:lastRenderedPageBreak/>
        <w:t>modificările și completările ulterioare și în Legea nr. 214/2024 privind utilizarea semnăturii electronice, a mărcii temporale și prestarea serviciilor de încredere bazate pe acestea. Prestatorii de servicii de încredere calificate transmit raportul de evaluare a conformității care a rezultat organismului de supraveghere în termen de trei zile lucrătoare de la primirea lui.</w:t>
      </w:r>
    </w:p>
    <w:p w:rsidR="004D0922" w:rsidRPr="004B4820" w:rsidRDefault="004D0922" w:rsidP="00E46DE6">
      <w:pPr>
        <w:keepNext/>
        <w:keepLines/>
        <w:spacing w:line="360" w:lineRule="auto"/>
        <w:jc w:val="both"/>
        <w:outlineLvl w:val="2"/>
        <w:rPr>
          <w:rFonts w:ascii="Times New Roman" w:eastAsia="Trebuchet MS" w:hAnsi="Times New Roman" w:cs="Times New Roman"/>
          <w:b/>
          <w:bCs/>
          <w:color w:val="auto"/>
          <w:lang w:eastAsia="en-US"/>
        </w:rPr>
      </w:pPr>
      <w:bookmarkStart w:id="8" w:name="bookmark16"/>
      <w:r w:rsidRPr="004B4820">
        <w:rPr>
          <w:rFonts w:ascii="Times New Roman" w:eastAsia="Trebuchet MS" w:hAnsi="Times New Roman" w:cs="Times New Roman"/>
          <w:b/>
          <w:color w:val="auto"/>
          <w:lang w:eastAsia="en-US"/>
        </w:rPr>
        <w:t>Art. 4</w:t>
      </w:r>
      <w:bookmarkEnd w:id="8"/>
    </w:p>
    <w:p w:rsidR="004D0922" w:rsidRPr="004B4820" w:rsidRDefault="004D0922" w:rsidP="00E46DE6">
      <w:pPr>
        <w:numPr>
          <w:ilvl w:val="0"/>
          <w:numId w:val="8"/>
        </w:numPr>
        <w:tabs>
          <w:tab w:val="left" w:pos="39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Prestatorii de servicii de încredere calificate informează organismul de supraveghere cu cel puțin o lună înainte de începerea activității de evaluare a conformității și, la cerere, îi permit organismului de supraveghere să participe în calitate de observator.</w:t>
      </w:r>
    </w:p>
    <w:p w:rsidR="004D0922" w:rsidRPr="004B4820" w:rsidRDefault="004D0922" w:rsidP="00E46DE6">
      <w:pPr>
        <w:numPr>
          <w:ilvl w:val="0"/>
          <w:numId w:val="8"/>
        </w:numPr>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Prestatorii de servicii de încredere calificate au obligația de a păstra informațiile utilizate pentru și cele cu privire la trasabilitatea activității de emitere a certificatelor calificate pentru o perioadă de 10 ani și să ia măsuri de păstrare pe termen lung (LTP) a lanțului de încredere astfel încât semnăturile electronice să rămână valabile, autentice și admisibile din punct de vedere legal pe termen lung, în concordanță cu prevederile Legii Arhivelor Naționale.</w:t>
      </w:r>
    </w:p>
    <w:p w:rsidR="004D0922" w:rsidRPr="004B4820" w:rsidRDefault="004D0922" w:rsidP="00E46DE6">
      <w:pPr>
        <w:numPr>
          <w:ilvl w:val="0"/>
          <w:numId w:val="8"/>
        </w:numPr>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Organismul de supraveghere informează prestatorul de servicii de încredere calificat cu privire la retragerea statutului de calificat, al său sau al serviciului în cauză. Organismul de supraveghere informează organismul notificat în temeiul articolului 22 alineatul (3) din Regulamentul (UE) nr. 2014/910, cu modificările și completările ulterioare, în scopul actualizării listelor sigure menționate la alineatul (1) de la articolul respectiv, precum și autoritatea competentă desemnată sau înființată în temeiul articolului 8 alineatul (1) din Directiva (UE) 2022/2555.</w:t>
      </w:r>
    </w:p>
    <w:p w:rsidR="004D0922" w:rsidRPr="004B4820" w:rsidRDefault="004D0922" w:rsidP="00E46DE6">
      <w:pPr>
        <w:numPr>
          <w:ilvl w:val="0"/>
          <w:numId w:val="8"/>
        </w:numPr>
        <w:tabs>
          <w:tab w:val="left" w:pos="41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 cazul în care dispune încetarea activității unui prestator de servicii de încredere care emite certificate digitale calificate, autoritatea de reglementare și supraveghere specializată în domeniu asigură fie revocarea certificatelor emise de prestatorul de servicii de încredere, fie preluarea activității și a registrului electronic de evidență a certificatelor eliberate și revocate se face de către un alt prestator de servicii de încredere, cu acordul acestuia. Oricare dintre aceste măsuri este comunicată de îndată titularilor certificatelor.</w:t>
      </w:r>
    </w:p>
    <w:p w:rsidR="004D0922" w:rsidRPr="004B4820" w:rsidRDefault="004D0922" w:rsidP="00E46DE6">
      <w:pPr>
        <w:numPr>
          <w:ilvl w:val="0"/>
          <w:numId w:val="8"/>
        </w:numPr>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 cazul în care activitatea prestatorului de servicii de încredere nu este preluată de către un alt prestator, prestatorul de servicii de încredere este obligat să asigure revocarea tuturor certificatelor pe care le-a eliberat. în caz contrar, acestea sunt revocate pe cheltuiala prestatorului de către ADR.</w:t>
      </w:r>
    </w:p>
    <w:p w:rsidR="003A7E22" w:rsidRPr="004B4820" w:rsidRDefault="003A7E22" w:rsidP="00446AE2">
      <w:pPr>
        <w:tabs>
          <w:tab w:val="left" w:pos="399"/>
        </w:tabs>
        <w:spacing w:line="360" w:lineRule="auto"/>
        <w:jc w:val="both"/>
        <w:rPr>
          <w:rFonts w:ascii="Times New Roman" w:eastAsia="Trebuchet MS" w:hAnsi="Times New Roman" w:cs="Times New Roman"/>
          <w:color w:val="auto"/>
          <w:lang w:eastAsia="en-US"/>
        </w:rPr>
      </w:pPr>
    </w:p>
    <w:p w:rsidR="006B6D61" w:rsidRPr="004B4820" w:rsidRDefault="003A7E22" w:rsidP="00623CF4">
      <w:pPr>
        <w:keepNext/>
        <w:keepLines/>
        <w:spacing w:line="360" w:lineRule="auto"/>
        <w:jc w:val="both"/>
        <w:outlineLvl w:val="2"/>
        <w:rPr>
          <w:rFonts w:ascii="Times New Roman" w:eastAsia="Trebuchet MS" w:hAnsi="Times New Roman" w:cs="Times New Roman"/>
          <w:b/>
          <w:color w:val="auto"/>
          <w:lang w:eastAsia="en-US"/>
        </w:rPr>
      </w:pPr>
      <w:bookmarkStart w:id="9" w:name="bookmark18"/>
      <w:r w:rsidRPr="004B4820">
        <w:rPr>
          <w:rFonts w:ascii="Times New Roman" w:eastAsia="Trebuchet MS" w:hAnsi="Times New Roman" w:cs="Times New Roman"/>
          <w:b/>
          <w:color w:val="auto"/>
          <w:lang w:eastAsia="en-US"/>
        </w:rPr>
        <w:lastRenderedPageBreak/>
        <w:t>ANEXA nr. 1.1: Notificare</w:t>
      </w:r>
      <w:bookmarkEnd w:id="9"/>
    </w:p>
    <w:p w:rsidR="003A7E22" w:rsidRPr="004B4820" w:rsidRDefault="006B6D61"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M</w:t>
      </w:r>
      <w:r w:rsidR="003A7E22" w:rsidRPr="004B4820">
        <w:rPr>
          <w:rFonts w:ascii="Times New Roman" w:eastAsia="Trebuchet MS" w:hAnsi="Times New Roman" w:cs="Times New Roman"/>
          <w:color w:val="auto"/>
          <w:lang w:eastAsia="en-US"/>
        </w:rPr>
        <w:t xml:space="preserve">odel </w:t>
      </w:r>
      <w:r w:rsidRPr="004B4820">
        <w:rPr>
          <w:rFonts w:ascii="Times New Roman" w:eastAsia="Trebuchet MS" w:hAnsi="Times New Roman" w:cs="Times New Roman"/>
          <w:color w:val="auto"/>
          <w:lang w:eastAsia="en-US"/>
        </w:rPr>
        <w:t>–</w:t>
      </w:r>
    </w:p>
    <w:p w:rsidR="006B6D61" w:rsidRPr="004B4820" w:rsidRDefault="006B6D61" w:rsidP="00623CF4">
      <w:pPr>
        <w:spacing w:line="360" w:lineRule="auto"/>
        <w:jc w:val="both"/>
        <w:rPr>
          <w:rFonts w:ascii="Times New Roman" w:eastAsia="Trebuchet MS" w:hAnsi="Times New Roman" w:cs="Times New Roman"/>
          <w:color w:val="auto"/>
          <w:lang w:eastAsia="en-US"/>
        </w:rPr>
      </w:pPr>
    </w:p>
    <w:p w:rsidR="003A7E22" w:rsidRPr="004B4820" w:rsidRDefault="003A7E22" w:rsidP="00623CF4">
      <w:pPr>
        <w:spacing w:line="360" w:lineRule="auto"/>
        <w:jc w:val="both"/>
        <w:rPr>
          <w:rFonts w:ascii="Times New Roman" w:eastAsia="Trebuchet MS" w:hAnsi="Times New Roman" w:cs="Times New Roman"/>
          <w:b/>
          <w:color w:val="auto"/>
          <w:lang w:eastAsia="en-US"/>
        </w:rPr>
      </w:pPr>
      <w:r w:rsidRPr="004B4820">
        <w:rPr>
          <w:rFonts w:ascii="Times New Roman" w:eastAsia="Trebuchet MS" w:hAnsi="Times New Roman" w:cs="Times New Roman"/>
          <w:b/>
          <w:color w:val="auto"/>
          <w:lang w:eastAsia="en-US"/>
        </w:rPr>
        <w:t>Notificare</w:t>
      </w:r>
    </w:p>
    <w:p w:rsidR="003A7E22" w:rsidRPr="004B4820" w:rsidRDefault="003A7E22"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Stimată/Stimate Doamnă/</w:t>
      </w:r>
      <w:proofErr w:type="spellStart"/>
      <w:r w:rsidRPr="004B4820">
        <w:rPr>
          <w:rFonts w:ascii="Times New Roman" w:eastAsia="Trebuchet MS" w:hAnsi="Times New Roman" w:cs="Times New Roman"/>
          <w:color w:val="auto"/>
          <w:lang w:eastAsia="en-US"/>
        </w:rPr>
        <w:t>Domnule</w:t>
      </w:r>
      <w:proofErr w:type="spellEnd"/>
      <w:r w:rsidRPr="004B4820">
        <w:rPr>
          <w:rFonts w:ascii="Times New Roman" w:eastAsia="Trebuchet MS" w:hAnsi="Times New Roman" w:cs="Times New Roman"/>
          <w:color w:val="auto"/>
          <w:lang w:eastAsia="en-US"/>
        </w:rPr>
        <w:t xml:space="preserve"> Președinte,</w:t>
      </w:r>
    </w:p>
    <w:p w:rsidR="003A7E22" w:rsidRPr="004B4820" w:rsidRDefault="003A7E22" w:rsidP="00623CF4">
      <w:pPr>
        <w:tabs>
          <w:tab w:val="right" w:leader="dot" w:pos="2767"/>
          <w:tab w:val="left" w:pos="291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Având în vedere prevederile art. 4 alin. (1) pct. 65 și 66 din Hotărârea Guvernului nr. </w:t>
      </w:r>
      <w:r w:rsidRPr="004B4820">
        <w:rPr>
          <w:rFonts w:ascii="Times New Roman" w:eastAsia="Trebuchet MS" w:hAnsi="Times New Roman" w:cs="Times New Roman"/>
          <w:color w:val="auto"/>
          <w:u w:val="single"/>
          <w:lang w:eastAsia="en-US"/>
        </w:rPr>
        <w:t xml:space="preserve">89/2020 </w:t>
      </w:r>
      <w:r w:rsidRPr="004B4820">
        <w:rPr>
          <w:rFonts w:ascii="Times New Roman" w:eastAsia="Trebuchet MS" w:hAnsi="Times New Roman" w:cs="Times New Roman"/>
          <w:color w:val="auto"/>
          <w:lang w:eastAsia="en-US"/>
        </w:rPr>
        <w:t xml:space="preserve">privind organizarea și funcționarea Autorității pentru Digitalizarea României, cu modificările și completările ulterioare și în temeiul prevederilor Regulamentului (UE) nr. </w:t>
      </w:r>
      <w:r w:rsidRPr="004B4820">
        <w:rPr>
          <w:rFonts w:ascii="Times New Roman" w:eastAsia="Trebuchet MS" w:hAnsi="Times New Roman" w:cs="Times New Roman"/>
          <w:color w:val="auto"/>
          <w:u w:val="single"/>
          <w:lang w:eastAsia="en-US"/>
        </w:rPr>
        <w:t>910/2014</w:t>
      </w:r>
      <w:r w:rsidRPr="004B4820">
        <w:rPr>
          <w:rFonts w:ascii="Times New Roman" w:eastAsia="Trebuchet MS" w:hAnsi="Times New Roman" w:cs="Times New Roman"/>
          <w:color w:val="auto"/>
          <w:lang w:eastAsia="en-US"/>
        </w:rPr>
        <w:t xml:space="preserve"> ,cu modificările și completările ulterioare, cu deciziile și regulamentele derivate, precum și ale Legii nr. 214/2024 privind utilizarea semnăturii electronice, a mărcii temporale și prestarea serviciilor de încredere bazate pe acestea, vă solicit să dispuneți începerea procedurii de acordare a statutului de "prestator de servicii de încredere calificat" pentru serviciul de încredere (se menționează serviciul), pentru (numele și prenumele/denumirea solicitantului), prestator de servicii de </w:t>
      </w:r>
      <w:r w:rsidRPr="004B4820">
        <w:rPr>
          <w:rFonts w:ascii="Times New Roman" w:eastAsia="Trebuchet MS" w:hAnsi="Times New Roman" w:cs="Times New Roman"/>
          <w:color w:val="auto"/>
          <w:lang w:eastAsia="en-US"/>
        </w:rPr>
        <w:tab/>
        <w:t>,</w:t>
      </w:r>
      <w:r w:rsidRPr="004B4820">
        <w:rPr>
          <w:rFonts w:ascii="Times New Roman" w:eastAsia="Trebuchet MS" w:hAnsi="Times New Roman" w:cs="Times New Roman"/>
          <w:color w:val="auto"/>
          <w:lang w:eastAsia="en-US"/>
        </w:rPr>
        <w:tab/>
        <w:t>cu domiciliul/sediul în (adresa</w:t>
      </w:r>
    </w:p>
    <w:p w:rsidR="006B6D61" w:rsidRPr="004B4820" w:rsidRDefault="003A7E22" w:rsidP="00623CF4">
      <w:pPr>
        <w:tabs>
          <w:tab w:val="left" w:leader="dot" w:pos="2093"/>
          <w:tab w:val="left" w:leader="dot" w:pos="9007"/>
          <w:tab w:val="left" w:leader="dot" w:pos="9172"/>
          <w:tab w:val="left" w:leader="dot" w:pos="9172"/>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completă, inclusiv telefon), înregistrată la Oficiul Registrului Comerțului de pe lângă Tribunalul </w:t>
      </w:r>
      <w:r w:rsidRPr="004B4820">
        <w:rPr>
          <w:rFonts w:ascii="Times New Roman" w:eastAsia="Trebuchet MS" w:hAnsi="Times New Roman" w:cs="Times New Roman"/>
          <w:color w:val="auto"/>
          <w:lang w:eastAsia="en-US"/>
        </w:rPr>
        <w:tab/>
        <w:t>, cod unic de înregistrare/cod de identificare fiscală</w:t>
      </w:r>
      <w:r w:rsidRPr="004B4820">
        <w:rPr>
          <w:rFonts w:ascii="Times New Roman" w:eastAsia="Trebuchet MS" w:hAnsi="Times New Roman" w:cs="Times New Roman"/>
          <w:color w:val="auto"/>
          <w:lang w:eastAsia="en-US"/>
        </w:rPr>
        <w:tab/>
      </w:r>
      <w:r w:rsidRPr="004B4820">
        <w:rPr>
          <w:rFonts w:ascii="Times New Roman" w:eastAsia="Trebuchet MS" w:hAnsi="Times New Roman" w:cs="Times New Roman"/>
          <w:color w:val="auto"/>
          <w:lang w:eastAsia="en-US"/>
        </w:rPr>
        <w:tab/>
      </w:r>
    </w:p>
    <w:p w:rsidR="006B6D61" w:rsidRPr="004B4820" w:rsidRDefault="006B6D61" w:rsidP="00623CF4">
      <w:pPr>
        <w:tabs>
          <w:tab w:val="left" w:leader="dot" w:pos="2093"/>
          <w:tab w:val="left" w:leader="dot" w:pos="9007"/>
          <w:tab w:val="left" w:leader="dot" w:pos="9172"/>
          <w:tab w:val="left" w:leader="dot" w:pos="9172"/>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reprezentat legal prin </w:t>
      </w:r>
      <w:r w:rsidRPr="004B4820">
        <w:rPr>
          <w:rFonts w:ascii="Times New Roman" w:eastAsia="Trebuchet MS" w:hAnsi="Times New Roman" w:cs="Times New Roman"/>
          <w:color w:val="auto"/>
          <w:lang w:eastAsia="en-US"/>
        </w:rPr>
        <w:tab/>
        <w:t xml:space="preserve"> (numele și prenumele), domiciliat(ă) în</w:t>
      </w:r>
      <w:r w:rsidR="00E46DE6" w:rsidRPr="004B4820">
        <w:rPr>
          <w:rFonts w:ascii="Times New Roman" w:eastAsia="Trebuchet MS" w:hAnsi="Times New Roman" w:cs="Times New Roman"/>
          <w:color w:val="auto"/>
          <w:lang w:eastAsia="en-US"/>
        </w:rPr>
        <w:t>.......................................................................................</w:t>
      </w:r>
    </w:p>
    <w:p w:rsidR="006B6D61" w:rsidRPr="004B4820" w:rsidRDefault="006B6D61" w:rsidP="00623CF4">
      <w:pPr>
        <w:tabs>
          <w:tab w:val="left" w:leader="dot" w:pos="2093"/>
          <w:tab w:val="left" w:leader="dot" w:pos="9007"/>
          <w:tab w:val="left" w:leader="dot" w:pos="9172"/>
          <w:tab w:val="left" w:leader="dot" w:pos="9172"/>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b/>
        <w:t>(adresa completă),</w:t>
      </w:r>
      <w:r w:rsidRPr="004B4820">
        <w:rPr>
          <w:rFonts w:ascii="Times New Roman" w:eastAsia="Trebuchet MS" w:hAnsi="Times New Roman" w:cs="Times New Roman"/>
          <w:color w:val="auto"/>
          <w:lang w:eastAsia="en-US"/>
        </w:rPr>
        <w:tab/>
      </w:r>
      <w:r w:rsidR="003A7E22" w:rsidRPr="004B4820">
        <w:rPr>
          <w:rFonts w:ascii="Times New Roman" w:eastAsia="Trebuchet MS" w:hAnsi="Times New Roman" w:cs="Times New Roman"/>
          <w:color w:val="auto"/>
          <w:lang w:eastAsia="en-US"/>
        </w:rPr>
        <w:t xml:space="preserve"> </w:t>
      </w:r>
    </w:p>
    <w:p w:rsidR="003A7E22" w:rsidRPr="004B4820" w:rsidRDefault="003A7E22" w:rsidP="00623CF4">
      <w:pPr>
        <w:tabs>
          <w:tab w:val="right" w:leader="dot" w:pos="2767"/>
          <w:tab w:val="left" w:pos="2970"/>
          <w:tab w:val="left" w:leader="dot" w:pos="7253"/>
        </w:tabs>
        <w:spacing w:line="360" w:lineRule="auto"/>
        <w:jc w:val="both"/>
        <w:rPr>
          <w:rFonts w:ascii="Times New Roman" w:eastAsia="Trebuchet MS" w:hAnsi="Times New Roman" w:cs="Times New Roman"/>
          <w:color w:val="auto"/>
          <w:lang w:eastAsia="en-US"/>
        </w:rPr>
      </w:pPr>
    </w:p>
    <w:p w:rsidR="003A7E22" w:rsidRPr="004B4820" w:rsidRDefault="003A7E22"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inclusiv telefon), identificat(ă) prin actul de identitate (serie, număr, cod numeric personal).</w:t>
      </w:r>
    </w:p>
    <w:p w:rsidR="00E46DE6" w:rsidRPr="004B4820" w:rsidRDefault="00E46DE6" w:rsidP="00623CF4">
      <w:pPr>
        <w:spacing w:line="360" w:lineRule="auto"/>
        <w:jc w:val="both"/>
        <w:rPr>
          <w:rFonts w:ascii="Times New Roman" w:eastAsia="Trebuchet MS" w:hAnsi="Times New Roman" w:cs="Times New Roman"/>
          <w:color w:val="auto"/>
          <w:lang w:eastAsia="en-US"/>
        </w:rPr>
      </w:pPr>
    </w:p>
    <w:p w:rsidR="003A7E22" w:rsidRPr="004B4820" w:rsidRDefault="003A7E22"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Semnătura reprezentantului legal</w:t>
      </w:r>
    </w:p>
    <w:p w:rsidR="00E46DE6" w:rsidRPr="004B4820" w:rsidRDefault="00E46DE6" w:rsidP="00623CF4">
      <w:pPr>
        <w:spacing w:line="360" w:lineRule="auto"/>
        <w:jc w:val="both"/>
        <w:rPr>
          <w:rFonts w:ascii="Times New Roman" w:eastAsia="Trebuchet MS" w:hAnsi="Times New Roman" w:cs="Times New Roman"/>
          <w:color w:val="auto"/>
          <w:lang w:eastAsia="en-US"/>
        </w:rPr>
      </w:pPr>
    </w:p>
    <w:p w:rsidR="003A7E22" w:rsidRPr="004B4820" w:rsidRDefault="003A7E22"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Lista de documente anexate formularului de notificare:</w:t>
      </w:r>
    </w:p>
    <w:p w:rsidR="003A7E22" w:rsidRPr="004B4820" w:rsidRDefault="003A7E22" w:rsidP="00623CF4">
      <w:pPr>
        <w:numPr>
          <w:ilvl w:val="0"/>
          <w:numId w:val="10"/>
        </w:numPr>
        <w:tabs>
          <w:tab w:val="left" w:pos="81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un raport de evaluare a conformității, emis de un organism de evaluare a conformității,</w:t>
      </w:r>
    </w:p>
    <w:p w:rsidR="003A7E22" w:rsidRPr="004B4820" w:rsidRDefault="003A7E22" w:rsidP="00623CF4">
      <w:pPr>
        <w:numPr>
          <w:ilvl w:val="0"/>
          <w:numId w:val="10"/>
        </w:numPr>
        <w:tabs>
          <w:tab w:val="left" w:pos="81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precum și toate informațiile referitoare la procedurile de securitate și de certificare utilizate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o scrisoare de garanție din partea unei instituții financiar-bancare sau o poliță de asigurare de răspundere civilă pentru riscurile legate de prestarea fiecărui serviciu de încredere pentru care se solicită acordarea statutului calificat, în valoare de 500.000 euro pentru fiecare </w:t>
      </w:r>
      <w:r w:rsidRPr="004B4820">
        <w:rPr>
          <w:rFonts w:ascii="Times New Roman" w:eastAsia="Trebuchet MS" w:hAnsi="Times New Roman" w:cs="Times New Roman"/>
          <w:color w:val="auto"/>
          <w:lang w:eastAsia="en-US"/>
        </w:rPr>
        <w:lastRenderedPageBreak/>
        <w:t>serviciu de încredere, cesionată în favoarea organismului de supraveghere;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descrierea soluției tehnice;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declarația pe propria răspundere a reprezentantului legal al prestatorului cu privire la respectarea, în cadrul procesului de prestare a serviciilor de încredere, a cerințelor REGULAMENTUL (UE) 2016/679 AL PARLAMENTULUI EUROPEAN Șl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planul de securitate al sistemului informatic utilizat;</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linkuri la politicile, practicile și procedurile de prestare a serviciilor de încredere calificate;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arhitectura detaliată a serviciului de încredere (de exemplu, ierarhia PKI - infrastructura cheii publice, împreună cu indicarea politicilor de servicii de încredere sprijinite) pentru care se solicită un statut calificat;</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termenii și condițiile pe care prestatorul de servicii de încredere calificat le va semna cu utilizatorul final;</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datele de contact ale prestatorului de servicii de încredere (e-mail, număr de telefon, site web);</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actul constitutiv al prestatorului de servicii de încredere din care să rezulte că are specificată în obiectul de activitate desfășurarea de activități în domeniile tehnologiei informației sau serviciilor informaționale;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proofErr w:type="spellStart"/>
      <w:r w:rsidRPr="004B4820">
        <w:rPr>
          <w:rFonts w:ascii="Times New Roman" w:eastAsia="Trebuchet MS" w:hAnsi="Times New Roman" w:cs="Times New Roman"/>
          <w:color w:val="auto"/>
          <w:lang w:eastAsia="en-US"/>
        </w:rPr>
        <w:t>împuternidre</w:t>
      </w:r>
      <w:proofErr w:type="spellEnd"/>
      <w:r w:rsidRPr="004B4820">
        <w:rPr>
          <w:rFonts w:ascii="Times New Roman" w:eastAsia="Trebuchet MS" w:hAnsi="Times New Roman" w:cs="Times New Roman"/>
          <w:color w:val="auto"/>
          <w:lang w:eastAsia="en-US"/>
        </w:rPr>
        <w:t xml:space="preserve"> pentru persoana delegată să semneze în numele administratorului;</w:t>
      </w:r>
    </w:p>
    <w:p w:rsidR="003A7E22" w:rsidRPr="004B4820" w:rsidRDefault="003A7E22" w:rsidP="00623CF4">
      <w:pPr>
        <w:numPr>
          <w:ilvl w:val="0"/>
          <w:numId w:val="10"/>
        </w:numPr>
        <w:tabs>
          <w:tab w:val="left" w:pos="82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dovezi că prestatorul de servicii de încredere deține resurse financiare suficiente și a obținut o asigurare de răspundere corespunzătoare în ceea ce privește prestarea serviciilor de încredere pentru care se solicită un statut calificat, incluzând copii ale contului de profit și pierdere și ale balanței contabile pentru ultimii 3 ani pentru conturile care au fost înscrise; în lipsa acesteia, declarații bancare corespunzătoare;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 de continuitate a afacerii și recuperare în caz de dezastru;</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lista standardelor în baza cărora operațiile sunt efectuate, auditate, evaluate sau certificate pentru a fi conforme;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certificat de conformitate pentru dispozitivele de creare a semnăturii electronice și a </w:t>
      </w:r>
      <w:r w:rsidRPr="004B4820">
        <w:rPr>
          <w:rFonts w:ascii="Times New Roman" w:eastAsia="Trebuchet MS" w:hAnsi="Times New Roman" w:cs="Times New Roman"/>
          <w:color w:val="auto"/>
          <w:lang w:eastAsia="en-US"/>
        </w:rPr>
        <w:lastRenderedPageBreak/>
        <w:t>sigiliului electronic în concordanță cu cerințele Regulamentului (UE) nr. 910/2014, cu și ale Deciziei Comisiei de punere în aplicare (UE) nr. 650/2016;</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modelul notificării organismului de supraveghere și prezentarea măsurilor tehnice și organizaționale luate pentru gestionarea riscurilor la adresa securității serviciilor de încredere, menite să sprijine demonstrarea cerinței art. 19.1 din Regulamentul (UE) nr. 910/2014;</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procedura de notificare a Autorității Naționale de Supraveghere a Prelucrării Datelor cu Caracter Personal privind încălcarea securității sau pierderea integrității care are un impact semnificativ asupra serviciului de încredere prestat sau asupra datelor cu caracter personal păstrate de prestatorul de servicii menită să sprijine demonstrarea cerinței art. 19.2 din Regulamentul (UE) nr. 910/2014, cu modificările și completările ulterioare;</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planul de încetare a activității în conformitate cu cerințele art. 24.2. (i) din Regulamentul (UE) nr. 910/2014,</w:t>
      </w:r>
    </w:p>
    <w:p w:rsidR="003A7E22" w:rsidRPr="004B4820" w:rsidRDefault="003A7E22" w:rsidP="00623CF4">
      <w:pPr>
        <w:numPr>
          <w:ilvl w:val="0"/>
          <w:numId w:val="10"/>
        </w:numPr>
        <w:tabs>
          <w:tab w:val="left" w:pos="77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adresa WEB a prestatorului;</w:t>
      </w:r>
    </w:p>
    <w:p w:rsidR="003A7E22" w:rsidRPr="004B4820" w:rsidRDefault="003A7E22" w:rsidP="00623CF4">
      <w:pPr>
        <w:numPr>
          <w:ilvl w:val="0"/>
          <w:numId w:val="10"/>
        </w:numPr>
        <w:tabs>
          <w:tab w:val="left" w:pos="79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ordinul de acreditare ca administrator de arhivă electronică, în conformitate cu prevederile Legii nr. 135/2007 privind arhivarea documentelor electronice, sau contractul încheiat cu un administrator de arhivă electronică acreditat;</w:t>
      </w:r>
    </w:p>
    <w:p w:rsidR="003A7E22" w:rsidRPr="004B4820" w:rsidRDefault="003A7E22" w:rsidP="00623CF4">
      <w:pPr>
        <w:numPr>
          <w:ilvl w:val="0"/>
          <w:numId w:val="10"/>
        </w:numPr>
        <w:tabs>
          <w:tab w:val="left" w:pos="77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minim două surse de timp precise, legate de ora universală.</w:t>
      </w:r>
    </w:p>
    <w:p w:rsidR="003A7E22" w:rsidRPr="004B4820" w:rsidRDefault="003A7E22" w:rsidP="00623CF4">
      <w:pPr>
        <w:numPr>
          <w:ilvl w:val="0"/>
          <w:numId w:val="11"/>
        </w:numPr>
        <w:tabs>
          <w:tab w:val="left" w:pos="71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Toate documentele atașate notificării vor fi semnate/confirmate de către administratorul prestatorului sau de către o persoană împuternicită de către acesta în scris.</w:t>
      </w:r>
    </w:p>
    <w:p w:rsidR="003A7E22" w:rsidRPr="004B4820" w:rsidRDefault="003A7E22" w:rsidP="00623CF4">
      <w:pPr>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Notificarea și documentele atașate pot fi semnate și electronic folosind un sigiliu electronic calificat al persoanei juridice sau folosind o semnătură electronică calificată de către administratorul acesteia și transmise prin e-mail la adresa indicată de către organismul de supraveghere.</w:t>
      </w:r>
    </w:p>
    <w:p w:rsidR="003A7E22" w:rsidRPr="004B4820" w:rsidRDefault="003A7E22" w:rsidP="00623CF4">
      <w:pPr>
        <w:tabs>
          <w:tab w:val="left" w:pos="399"/>
        </w:tabs>
        <w:spacing w:line="360" w:lineRule="auto"/>
        <w:jc w:val="both"/>
        <w:rPr>
          <w:rFonts w:ascii="Times New Roman" w:eastAsia="Trebuchet MS" w:hAnsi="Times New Roman" w:cs="Times New Roman"/>
          <w:color w:val="auto"/>
          <w:lang w:eastAsia="en-US"/>
        </w:rPr>
      </w:pPr>
    </w:p>
    <w:p w:rsidR="003A7E22" w:rsidRPr="004B4820" w:rsidRDefault="003A7E22"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b/>
          <w:bCs/>
          <w:color w:val="auto"/>
          <w:lang w:eastAsia="en-US"/>
        </w:rPr>
        <w:t>Anexa nr. 1.2</w:t>
      </w:r>
    </w:p>
    <w:p w:rsidR="003A7E22" w:rsidRPr="004B4820" w:rsidRDefault="003A7E22" w:rsidP="00623CF4">
      <w:pPr>
        <w:keepNext/>
        <w:keepLines/>
        <w:spacing w:line="360" w:lineRule="auto"/>
        <w:jc w:val="both"/>
        <w:outlineLvl w:val="2"/>
        <w:rPr>
          <w:rFonts w:ascii="Times New Roman" w:eastAsia="Trebuchet MS" w:hAnsi="Times New Roman" w:cs="Times New Roman"/>
          <w:b/>
          <w:bCs/>
          <w:color w:val="auto"/>
          <w:lang w:eastAsia="en-US"/>
        </w:rPr>
      </w:pPr>
      <w:bookmarkStart w:id="10" w:name="bookmark20"/>
      <w:r w:rsidRPr="004B4820">
        <w:rPr>
          <w:rFonts w:ascii="Times New Roman" w:eastAsia="Trebuchet MS" w:hAnsi="Times New Roman" w:cs="Times New Roman"/>
          <w:color w:val="auto"/>
          <w:lang w:eastAsia="en-US"/>
        </w:rPr>
        <w:t>Informații minime cuprinse în raportul de evaluare a conformității</w:t>
      </w:r>
      <w:bookmarkEnd w:id="10"/>
    </w:p>
    <w:p w:rsidR="003A7E22" w:rsidRPr="004B4820" w:rsidRDefault="003A7E22"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Raportul de evaluare a conformității trebuie să includă cel puțin următoarele informații:</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să indice în mod clar denumirea organismului de evaluare a conformității și, unde este cazul, numărul său de înregistrare, așa cum este declarat în înregistrările oficiale, adresa sa poștală oficială și adresa de poștă electronică;</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să indice în mod clar numele organismului de acreditare recunoscut la nivel național din </w:t>
      </w:r>
      <w:r w:rsidRPr="004B4820">
        <w:rPr>
          <w:rFonts w:ascii="Times New Roman" w:eastAsia="Trebuchet MS" w:hAnsi="Times New Roman" w:cs="Times New Roman"/>
          <w:color w:val="auto"/>
          <w:lang w:eastAsia="en-US"/>
        </w:rPr>
        <w:lastRenderedPageBreak/>
        <w:t>statul membru care i-a acordat acreditarea organismului de evaluare a conformității și, unde este cazul, numărul de înregistrare, așa cum este declarat în înregistrările oficiale, adresa poștală oficială și adresa de poștă electronică ale organismului național de acreditare;</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să includă certificatul de acreditare sau un link către locația de unde poate fi accesat certificatul de acreditare emis de organismului național de acreditare identificat în conformitate cu pct. 2, împreună cu descrierea detaliată, sau un link către locația de unde pot fi obținute descrierea detaliată a schemei de acreditare, inclusiv indicarea relevanței sale în raport cu Regulamentul (UE) nr. 910/2014, cu modificările și completările ulterioare;</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să indice în mod clar numele auditorului principal (</w:t>
      </w:r>
      <w:proofErr w:type="spellStart"/>
      <w:r w:rsidRPr="004B4820">
        <w:rPr>
          <w:rFonts w:ascii="Times New Roman" w:eastAsia="Trebuchet MS" w:hAnsi="Times New Roman" w:cs="Times New Roman"/>
          <w:color w:val="auto"/>
          <w:lang w:eastAsia="en-US"/>
        </w:rPr>
        <w:t>lead</w:t>
      </w:r>
      <w:proofErr w:type="spellEnd"/>
      <w:r w:rsidRPr="004B4820">
        <w:rPr>
          <w:rFonts w:ascii="Times New Roman" w:eastAsia="Trebuchet MS" w:hAnsi="Times New Roman" w:cs="Times New Roman"/>
          <w:color w:val="auto"/>
          <w:lang w:eastAsia="en-US"/>
        </w:rPr>
        <w:t xml:space="preserve"> auditorul) sau al organismului de evaluare a conformității care a emis și semnat raportul de evaluare a conformității;</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opinia de audit din care să reiasă dacă prestatorul îndeplinește sau nu cerințele Regulamentului (UE) nr. 910/2014, cu modificările și completările ulterioare, pentru serviciul de încredere pentru care a fost auditat;</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serviciul de încredere pentru care a fost evaluat prestatorul de servicii de încredere;</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standardul/standardele în conformitate cu care a fost realizată evaluarea conformității;</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să indice în mod clar serviciile prestatorului de încredere pentru care raportul de evaluare a conformității certifică conformitatea cu cerințele Regulamentului (UE) nr. 910/2014, cu modificările și completările ulterioare. Identificarea serviciului/serviciilor se va alinia la Decizia de punere în aplicare (UE) 2015/1.505 a Comisiei și clauza 5.5.1.1 din ETSI TS 119 612 V2.1.1 sau ultima versiune (notă: în acest sens, acesta va trebui să includă cel puțin Identificatorul </w:t>
      </w:r>
      <w:proofErr w:type="spellStart"/>
      <w:r w:rsidRPr="004B4820">
        <w:rPr>
          <w:rFonts w:ascii="Times New Roman" w:eastAsia="Trebuchet MS" w:hAnsi="Times New Roman" w:cs="Times New Roman"/>
          <w:color w:val="auto"/>
          <w:lang w:eastAsia="en-US"/>
        </w:rPr>
        <w:t>Subject</w:t>
      </w:r>
      <w:proofErr w:type="spellEnd"/>
      <w:r w:rsidRPr="004B4820">
        <w:rPr>
          <w:rFonts w:ascii="Times New Roman" w:eastAsia="Trebuchet MS" w:hAnsi="Times New Roman" w:cs="Times New Roman"/>
          <w:color w:val="auto"/>
          <w:lang w:eastAsia="en-US"/>
        </w:rPr>
        <w:t xml:space="preserve"> </w:t>
      </w:r>
      <w:proofErr w:type="spellStart"/>
      <w:r w:rsidRPr="004B4820">
        <w:rPr>
          <w:rFonts w:ascii="Times New Roman" w:eastAsia="Trebuchet MS" w:hAnsi="Times New Roman" w:cs="Times New Roman"/>
          <w:color w:val="auto"/>
          <w:lang w:eastAsia="en-US"/>
        </w:rPr>
        <w:t>Key</w:t>
      </w:r>
      <w:proofErr w:type="spellEnd"/>
      <w:r w:rsidRPr="004B4820">
        <w:rPr>
          <w:rFonts w:ascii="Times New Roman" w:eastAsia="Trebuchet MS" w:hAnsi="Times New Roman" w:cs="Times New Roman"/>
          <w:color w:val="auto"/>
          <w:lang w:eastAsia="en-US"/>
        </w:rPr>
        <w:t xml:space="preserve"> RFC 5280 sau cheia publică a serviciilor de încredere auditate și reprezentarea Base64 PEM a certificatului digital X.509 v3 asociat);</w:t>
      </w:r>
    </w:p>
    <w:p w:rsidR="003A7E22" w:rsidRPr="004B4820" w:rsidRDefault="003A7E22" w:rsidP="00623CF4">
      <w:pPr>
        <w:numPr>
          <w:ilvl w:val="0"/>
          <w:numId w:val="12"/>
        </w:numPr>
        <w:tabs>
          <w:tab w:val="left" w:pos="3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să furnizeze pentru fiecare serviciu de încredere calificat identificat la pct. 8 informațiile necesare cu scopul de a permite identificarea serviciului/serviciilor pentru includerea în lista națională de încredere aplicabilă, în conformitate cu Decizia de punere în aplicare (UE) 2015/1.505 a Comisiei din 8 septembrie 2015;</w:t>
      </w:r>
    </w:p>
    <w:p w:rsidR="003A7E22" w:rsidRPr="004B4820" w:rsidRDefault="003A7E22" w:rsidP="00623CF4">
      <w:pPr>
        <w:numPr>
          <w:ilvl w:val="0"/>
          <w:numId w:val="12"/>
        </w:numPr>
        <w:tabs>
          <w:tab w:val="left" w:pos="41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să enumere lista completă a documentelor publice și a documentelor interne ale prestatorului de servicii de încredere care au făcut parte din domeniul de aplicare al auditului.</w:t>
      </w:r>
    </w:p>
    <w:p w:rsidR="003A7E22" w:rsidRPr="004B4820" w:rsidRDefault="003A7E22"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Documentele publice ar trebui să fie atașate la raportul de evaluare a conformității sau să fie furnizate linkuri accesibile public care să permită descărcarea documentelor.</w:t>
      </w:r>
    </w:p>
    <w:p w:rsidR="003A7E22" w:rsidRPr="004B4820" w:rsidRDefault="003A7E22" w:rsidP="00623CF4">
      <w:pPr>
        <w:numPr>
          <w:ilvl w:val="0"/>
          <w:numId w:val="13"/>
        </w:numPr>
        <w:tabs>
          <w:tab w:val="left" w:pos="68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Documentele publice care au făcut parte din domeniul de aplicare al evaluării </w:t>
      </w:r>
      <w:r w:rsidRPr="004B4820">
        <w:rPr>
          <w:rFonts w:ascii="Times New Roman" w:eastAsia="Trebuchet MS" w:hAnsi="Times New Roman" w:cs="Times New Roman"/>
          <w:color w:val="auto"/>
          <w:lang w:eastAsia="en-US"/>
        </w:rPr>
        <w:lastRenderedPageBreak/>
        <w:t>conformității trebuie să includă cel puțin:</w:t>
      </w:r>
    </w:p>
    <w:p w:rsidR="003A7E22" w:rsidRPr="004B4820" w:rsidRDefault="003A7E22" w:rsidP="00623CF4">
      <w:pPr>
        <w:numPr>
          <w:ilvl w:val="0"/>
          <w:numId w:val="14"/>
        </w:numPr>
        <w:tabs>
          <w:tab w:val="left" w:pos="135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declarația practicilor utilizate de prestatorul de servicii de încredere pentru prestarea serviciilor de încredere calificate;</w:t>
      </w:r>
    </w:p>
    <w:p w:rsidR="003A7E22" w:rsidRPr="004B4820" w:rsidRDefault="003A7E22" w:rsidP="00623CF4">
      <w:pPr>
        <w:numPr>
          <w:ilvl w:val="0"/>
          <w:numId w:val="14"/>
        </w:numPr>
        <w:tabs>
          <w:tab w:val="left" w:pos="135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politica/politicile serviciilor de încredere calificate, de exemplu, setul de reguli care indică aplicabilitatea serviciilor de încredere calificate unei anumite comunități și/sau aplicații cu cerințe de securitate comune;</w:t>
      </w:r>
    </w:p>
    <w:p w:rsidR="003A7E22" w:rsidRPr="004B4820" w:rsidRDefault="003A7E22" w:rsidP="00623CF4">
      <w:pPr>
        <w:numPr>
          <w:ilvl w:val="0"/>
          <w:numId w:val="14"/>
        </w:numPr>
        <w:tabs>
          <w:tab w:val="left" w:pos="135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termenii și condițiile aferente contractului de prestare a serviciilor de încredere,</w:t>
      </w:r>
    </w:p>
    <w:p w:rsidR="003A7E22" w:rsidRPr="004B4820" w:rsidRDefault="003A7E22" w:rsidP="00623CF4">
      <w:pPr>
        <w:numPr>
          <w:ilvl w:val="0"/>
          <w:numId w:val="13"/>
        </w:numPr>
        <w:tabs>
          <w:tab w:val="left" w:pos="68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Documentele interne care au făcut parte din domeniul de aplicare al auditului trebuie să includă cel puțin:</w:t>
      </w:r>
    </w:p>
    <w:p w:rsidR="003A7E22" w:rsidRPr="004B4820" w:rsidRDefault="003A7E22" w:rsidP="00623CF4">
      <w:pPr>
        <w:numPr>
          <w:ilvl w:val="0"/>
          <w:numId w:val="15"/>
        </w:numPr>
        <w:tabs>
          <w:tab w:val="left" w:pos="135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planul în caz de încetare a serviciului, menționat în art. 24.2. (i) din Regulamentul (UE) nr. 910/2014 cu modificările și completările ulterioare;</w:t>
      </w:r>
    </w:p>
    <w:p w:rsidR="003A7E22" w:rsidRPr="004B4820" w:rsidRDefault="003A7E22" w:rsidP="00623CF4">
      <w:pPr>
        <w:numPr>
          <w:ilvl w:val="0"/>
          <w:numId w:val="15"/>
        </w:numPr>
        <w:tabs>
          <w:tab w:val="left" w:pos="135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documentația aferentă evaluării riscului menită să sprijine demonstrarea cerinței art. 19.1 din Regulamentul (UE) nr. 910/2014, cu modificările și completările ulterioare;</w:t>
      </w:r>
    </w:p>
    <w:p w:rsidR="003A7E22" w:rsidRPr="004B4820" w:rsidRDefault="003A7E22" w:rsidP="00623CF4">
      <w:pPr>
        <w:numPr>
          <w:ilvl w:val="0"/>
          <w:numId w:val="15"/>
        </w:numPr>
        <w:spacing w:line="360" w:lineRule="auto"/>
        <w:contextualSpacing/>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procedura de notificare privind încălcarea securității sau pierderea integrității care are un impact semnificativ asupra serviciului de încredere prestat sau asupra datelor cu caracter personal păstrate de prestatorul de servicii menită să sprijine demonstrarea cerinței art. 19.2 din Regulamentul (UE) nr. 910/2014 cu modificările și completările ulterioare; </w:t>
      </w:r>
    </w:p>
    <w:p w:rsidR="003A7E22" w:rsidRPr="004B4820" w:rsidRDefault="003A7E22" w:rsidP="00623CF4">
      <w:pPr>
        <w:numPr>
          <w:ilvl w:val="0"/>
          <w:numId w:val="15"/>
        </w:numPr>
        <w:tabs>
          <w:tab w:val="left" w:pos="14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lista tuturor documentelor interne care susțin declarația practicilor utilizate de prestatorul de servicii de încredere pentru a presta servicii de încredere calificate și politica/politici le serviciilor de încredere calificată(e).</w:t>
      </w:r>
    </w:p>
    <w:p w:rsidR="003A7E22" w:rsidRPr="004B4820" w:rsidRDefault="003A7E22" w:rsidP="00623CF4">
      <w:pPr>
        <w:numPr>
          <w:ilvl w:val="0"/>
          <w:numId w:val="15"/>
        </w:numPr>
        <w:tabs>
          <w:tab w:val="left" w:pos="135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procedura de notificare privind încălcarea securității sau pierderea integrității care are un impact semnificativ asupra serviciului de încredere prestat sau asupra datelor cu caracter personal păstrate de prestatorul de servicii menită să sprijine demonstrarea cerinței art. 19.2 din Regulamentul (UE) nr. 910/2014 cu modificările și completările ulterioare;</w:t>
      </w:r>
    </w:p>
    <w:p w:rsidR="003A7E22" w:rsidRPr="004B4820" w:rsidRDefault="003A7E22" w:rsidP="00623CF4">
      <w:pPr>
        <w:numPr>
          <w:ilvl w:val="0"/>
          <w:numId w:val="12"/>
        </w:numPr>
        <w:tabs>
          <w:tab w:val="left" w:pos="46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să indice, pentru fiecare etapă a auditului (de exemplu, audit de documentare și audit de punere în aplicare, inclusiv inspecții la fața locului), perioada în care a fost efectuat auditul (timpul scurs) și efortul în om-zile angajate de organismul de evaluare a conformității pentru a efectua auditul;</w:t>
      </w:r>
    </w:p>
    <w:p w:rsidR="003A7E22" w:rsidRPr="004B4820" w:rsidRDefault="003A7E22" w:rsidP="00623CF4">
      <w:pPr>
        <w:numPr>
          <w:ilvl w:val="0"/>
          <w:numId w:val="12"/>
        </w:numPr>
        <w:tabs>
          <w:tab w:val="left" w:pos="46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să îndeplinească cerințele prevăzute de standardele în vigoare.</w:t>
      </w:r>
    </w:p>
    <w:p w:rsidR="003A7E22" w:rsidRPr="004B4820" w:rsidRDefault="003A7E22" w:rsidP="00623CF4">
      <w:pPr>
        <w:numPr>
          <w:ilvl w:val="0"/>
          <w:numId w:val="16"/>
        </w:numPr>
        <w:tabs>
          <w:tab w:val="left" w:pos="38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Cerințe generale pentru prestatorii de servicii de încredere calificați și pentru fiecare tip de servicii de încredere calificate [cu indicarea articolelor relevante din Regulamentul (UE) nr. </w:t>
      </w:r>
      <w:r w:rsidRPr="004B4820">
        <w:rPr>
          <w:rFonts w:ascii="Times New Roman" w:eastAsia="Trebuchet MS" w:hAnsi="Times New Roman" w:cs="Times New Roman"/>
          <w:color w:val="auto"/>
          <w:lang w:eastAsia="en-US"/>
        </w:rPr>
        <w:lastRenderedPageBreak/>
        <w:t>910/2014, cu modificările și completările ulterioare],</w:t>
      </w:r>
    </w:p>
    <w:p w:rsidR="003A7E22" w:rsidRPr="004B4820" w:rsidRDefault="003A7E22" w:rsidP="00623CF4">
      <w:pPr>
        <w:numPr>
          <w:ilvl w:val="0"/>
          <w:numId w:val="17"/>
        </w:numPr>
        <w:tabs>
          <w:tab w:val="left" w:pos="80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Procesarea și protecția datelor (art. 5 și art. 5.1). Prelucrarea datelor cu caracter personal se efectuează în conformitate cu legislația privind prelucrarea datelor cu caracter personal în vigoare.</w:t>
      </w:r>
    </w:p>
    <w:p w:rsidR="003A7E22" w:rsidRPr="004B4820" w:rsidRDefault="003A7E22" w:rsidP="00623CF4">
      <w:pPr>
        <w:numPr>
          <w:ilvl w:val="0"/>
          <w:numId w:val="17"/>
        </w:numPr>
        <w:tabs>
          <w:tab w:val="left" w:pos="76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Prevederile privind răspunderea și sarcina probei îndeplinesc cerințele art. 13.</w:t>
      </w:r>
    </w:p>
    <w:p w:rsidR="003A7E22" w:rsidRPr="004B4820" w:rsidRDefault="003A7E22" w:rsidP="00623CF4">
      <w:pPr>
        <w:numPr>
          <w:ilvl w:val="0"/>
          <w:numId w:val="17"/>
        </w:numPr>
        <w:tabs>
          <w:tab w:val="left" w:pos="80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Prevederile privind accesibilitatea pentru persoanele cu dizabilități îndeplinesc cerințele art. 15.</w:t>
      </w:r>
    </w:p>
    <w:p w:rsidR="003A7E22" w:rsidRPr="004B4820" w:rsidRDefault="003A7E22" w:rsidP="00623CF4">
      <w:pPr>
        <w:numPr>
          <w:ilvl w:val="0"/>
          <w:numId w:val="17"/>
        </w:numPr>
        <w:tabs>
          <w:tab w:val="left" w:pos="80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îndeplinirea cerințelor de securitate aplicabile prestatorilor de servicii de încredere (art. 19 alin. 1 și alin. 2).</w:t>
      </w:r>
    </w:p>
    <w:p w:rsidR="003A7E22" w:rsidRPr="004B4820" w:rsidRDefault="003A7E22" w:rsidP="00623CF4">
      <w:pPr>
        <w:numPr>
          <w:ilvl w:val="0"/>
          <w:numId w:val="17"/>
        </w:numPr>
        <w:tabs>
          <w:tab w:val="left" w:pos="80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Prevederile privind supravegherea prestatorilor de servicii de încredere calificați (art. 20)</w:t>
      </w:r>
    </w:p>
    <w:p w:rsidR="003A7E22" w:rsidRPr="004B4820" w:rsidRDefault="003A7E22" w:rsidP="00623CF4">
      <w:pPr>
        <w:numPr>
          <w:ilvl w:val="0"/>
          <w:numId w:val="17"/>
        </w:numPr>
        <w:tabs>
          <w:tab w:val="left" w:pos="76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îndeplinirea cerințelor din art. 24 alin. 2.</w:t>
      </w:r>
    </w:p>
    <w:p w:rsidR="003A7E22" w:rsidRPr="004B4820" w:rsidRDefault="003A7E22" w:rsidP="00623CF4">
      <w:pPr>
        <w:numPr>
          <w:ilvl w:val="0"/>
          <w:numId w:val="16"/>
        </w:numPr>
        <w:tabs>
          <w:tab w:val="left" w:pos="37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Cerințe specifice suplimentare pentru tipul aplicabil al serviciului de încredere calificat [cu indicarea articolelor relevante din Regulamentul (UE) nr. 910/2014, cu modificările și completările ulterioare].</w:t>
      </w:r>
    </w:p>
    <w:p w:rsidR="003A7E22" w:rsidRPr="004B4820" w:rsidRDefault="003A7E22" w:rsidP="00623CF4">
      <w:pPr>
        <w:numPr>
          <w:ilvl w:val="0"/>
          <w:numId w:val="18"/>
        </w:numPr>
        <w:tabs>
          <w:tab w:val="left" w:pos="65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Certificat calificat pentru semnătura electronică</w:t>
      </w:r>
    </w:p>
    <w:p w:rsidR="003A7E22" w:rsidRPr="004B4820" w:rsidRDefault="003A7E22" w:rsidP="00623CF4">
      <w:pPr>
        <w:numPr>
          <w:ilvl w:val="0"/>
          <w:numId w:val="19"/>
        </w:numPr>
        <w:tabs>
          <w:tab w:val="left" w:pos="146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1 lit. (a) la (d)</w:t>
      </w:r>
    </w:p>
    <w:p w:rsidR="003A7E22" w:rsidRPr="004B4820" w:rsidRDefault="003A7E22" w:rsidP="00623CF4">
      <w:pPr>
        <w:numPr>
          <w:ilvl w:val="0"/>
          <w:numId w:val="19"/>
        </w:numPr>
        <w:tabs>
          <w:tab w:val="left" w:pos="146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2. lit. (k)</w:t>
      </w:r>
    </w:p>
    <w:p w:rsidR="003A7E22" w:rsidRPr="004B4820" w:rsidRDefault="003A7E22" w:rsidP="00623CF4">
      <w:pPr>
        <w:numPr>
          <w:ilvl w:val="0"/>
          <w:numId w:val="19"/>
        </w:numPr>
        <w:tabs>
          <w:tab w:val="left" w:pos="145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3</w:t>
      </w:r>
    </w:p>
    <w:p w:rsidR="003A7E22" w:rsidRPr="004B4820" w:rsidRDefault="003A7E22" w:rsidP="00623CF4">
      <w:pPr>
        <w:numPr>
          <w:ilvl w:val="0"/>
          <w:numId w:val="19"/>
        </w:numPr>
        <w:tabs>
          <w:tab w:val="left" w:pos="147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4</w:t>
      </w:r>
    </w:p>
    <w:p w:rsidR="003A7E22" w:rsidRPr="004B4820" w:rsidRDefault="003A7E22" w:rsidP="00623CF4">
      <w:pPr>
        <w:numPr>
          <w:ilvl w:val="0"/>
          <w:numId w:val="19"/>
        </w:numPr>
        <w:tabs>
          <w:tab w:val="left" w:pos="147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28 alin. 1 - anexa I</w:t>
      </w:r>
    </w:p>
    <w:p w:rsidR="003A7E22" w:rsidRPr="004B4820" w:rsidRDefault="003A7E22" w:rsidP="00623CF4">
      <w:pPr>
        <w:numPr>
          <w:ilvl w:val="0"/>
          <w:numId w:val="19"/>
        </w:numPr>
        <w:tabs>
          <w:tab w:val="left" w:pos="14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28 alin. 3</w:t>
      </w:r>
    </w:p>
    <w:p w:rsidR="003A7E22" w:rsidRPr="004B4820" w:rsidRDefault="003A7E22" w:rsidP="00623CF4">
      <w:pPr>
        <w:numPr>
          <w:ilvl w:val="0"/>
          <w:numId w:val="19"/>
        </w:numPr>
        <w:tabs>
          <w:tab w:val="left" w:pos="14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g. art. 28 alin. 4</w:t>
      </w:r>
    </w:p>
    <w:p w:rsidR="003A7E22" w:rsidRPr="004B4820" w:rsidRDefault="003A7E22" w:rsidP="00623CF4">
      <w:pPr>
        <w:spacing w:line="360" w:lineRule="auto"/>
        <w:ind w:left="1080"/>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h. art. 28 alin. 5</w:t>
      </w:r>
    </w:p>
    <w:p w:rsidR="003A7E22" w:rsidRPr="004B4820" w:rsidRDefault="003A7E22" w:rsidP="00623CF4">
      <w:pPr>
        <w:numPr>
          <w:ilvl w:val="0"/>
          <w:numId w:val="18"/>
        </w:numPr>
        <w:tabs>
          <w:tab w:val="left" w:pos="62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Certificat calificat pentru sigiliu electronic</w:t>
      </w:r>
    </w:p>
    <w:p w:rsidR="003A7E22" w:rsidRPr="004B4820" w:rsidRDefault="003A7E22" w:rsidP="00623CF4">
      <w:pPr>
        <w:numPr>
          <w:ilvl w:val="0"/>
          <w:numId w:val="20"/>
        </w:numPr>
        <w:tabs>
          <w:tab w:val="left" w:pos="144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1 lit. (a) la (d)</w:t>
      </w:r>
    </w:p>
    <w:p w:rsidR="003A7E22" w:rsidRPr="004B4820" w:rsidRDefault="003A7E22" w:rsidP="00623CF4">
      <w:pPr>
        <w:numPr>
          <w:ilvl w:val="0"/>
          <w:numId w:val="20"/>
        </w:numPr>
        <w:tabs>
          <w:tab w:val="left" w:pos="144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2 lit. (k)</w:t>
      </w:r>
    </w:p>
    <w:p w:rsidR="003A7E22" w:rsidRPr="004B4820" w:rsidRDefault="003A7E22" w:rsidP="00623CF4">
      <w:pPr>
        <w:numPr>
          <w:ilvl w:val="0"/>
          <w:numId w:val="20"/>
        </w:numPr>
        <w:tabs>
          <w:tab w:val="left" w:pos="144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3</w:t>
      </w:r>
    </w:p>
    <w:p w:rsidR="003A7E22" w:rsidRPr="004B4820" w:rsidRDefault="003A7E22" w:rsidP="00623CF4">
      <w:pPr>
        <w:numPr>
          <w:ilvl w:val="0"/>
          <w:numId w:val="20"/>
        </w:numPr>
        <w:tabs>
          <w:tab w:val="left" w:pos="145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4</w:t>
      </w:r>
    </w:p>
    <w:p w:rsidR="003A7E22" w:rsidRPr="004B4820" w:rsidRDefault="003A7E22" w:rsidP="00623CF4">
      <w:pPr>
        <w:numPr>
          <w:ilvl w:val="0"/>
          <w:numId w:val="20"/>
        </w:numPr>
        <w:tabs>
          <w:tab w:val="left" w:pos="145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38 alin. 1 - anexa III</w:t>
      </w:r>
    </w:p>
    <w:p w:rsidR="003A7E22" w:rsidRPr="004B4820" w:rsidRDefault="003A7E22" w:rsidP="00623CF4">
      <w:pPr>
        <w:numPr>
          <w:ilvl w:val="0"/>
          <w:numId w:val="20"/>
        </w:numPr>
        <w:tabs>
          <w:tab w:val="left" w:pos="143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38 alin. 3</w:t>
      </w:r>
    </w:p>
    <w:p w:rsidR="003A7E22" w:rsidRPr="004B4820" w:rsidRDefault="003A7E22" w:rsidP="00623CF4">
      <w:pPr>
        <w:numPr>
          <w:ilvl w:val="0"/>
          <w:numId w:val="20"/>
        </w:numPr>
        <w:tabs>
          <w:tab w:val="left" w:pos="144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lastRenderedPageBreak/>
        <w:t>art. 38 alin. 4</w:t>
      </w:r>
    </w:p>
    <w:p w:rsidR="003A7E22" w:rsidRPr="004B4820" w:rsidRDefault="003A7E22" w:rsidP="00623CF4">
      <w:pPr>
        <w:numPr>
          <w:ilvl w:val="0"/>
          <w:numId w:val="20"/>
        </w:numPr>
        <w:tabs>
          <w:tab w:val="left" w:pos="144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38 alin. 5</w:t>
      </w:r>
    </w:p>
    <w:p w:rsidR="003A7E22" w:rsidRPr="004B4820" w:rsidRDefault="003A7E22" w:rsidP="00623CF4">
      <w:pPr>
        <w:numPr>
          <w:ilvl w:val="0"/>
          <w:numId w:val="18"/>
        </w:numPr>
        <w:tabs>
          <w:tab w:val="left" w:pos="62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Certificat calificat pentru autentificarea unui site</w:t>
      </w:r>
    </w:p>
    <w:p w:rsidR="003A7E22" w:rsidRPr="004B4820" w:rsidRDefault="003A7E22" w:rsidP="00623CF4">
      <w:pPr>
        <w:numPr>
          <w:ilvl w:val="0"/>
          <w:numId w:val="21"/>
        </w:numPr>
        <w:tabs>
          <w:tab w:val="left" w:pos="144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1 lit. (a) la (d)</w:t>
      </w:r>
    </w:p>
    <w:p w:rsidR="003A7E22" w:rsidRPr="004B4820" w:rsidRDefault="003A7E22" w:rsidP="00623CF4">
      <w:pPr>
        <w:numPr>
          <w:ilvl w:val="0"/>
          <w:numId w:val="21"/>
        </w:numPr>
        <w:tabs>
          <w:tab w:val="left" w:pos="145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2 lit. (k)</w:t>
      </w:r>
    </w:p>
    <w:p w:rsidR="003A7E22" w:rsidRPr="004B4820" w:rsidRDefault="003A7E22" w:rsidP="00623CF4">
      <w:pPr>
        <w:numPr>
          <w:ilvl w:val="0"/>
          <w:numId w:val="21"/>
        </w:numPr>
        <w:tabs>
          <w:tab w:val="left" w:pos="144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3</w:t>
      </w:r>
    </w:p>
    <w:p w:rsidR="003A7E22" w:rsidRPr="004B4820" w:rsidRDefault="003A7E22" w:rsidP="00623CF4">
      <w:pPr>
        <w:numPr>
          <w:ilvl w:val="0"/>
          <w:numId w:val="21"/>
        </w:numPr>
        <w:tabs>
          <w:tab w:val="left" w:pos="145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24 alin. 4</w:t>
      </w:r>
    </w:p>
    <w:p w:rsidR="003A7E22" w:rsidRPr="004B4820" w:rsidRDefault="003A7E22" w:rsidP="00623CF4">
      <w:pPr>
        <w:numPr>
          <w:ilvl w:val="0"/>
          <w:numId w:val="21"/>
        </w:numPr>
        <w:tabs>
          <w:tab w:val="left" w:pos="145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art. 45 alin. 1 - anexa IV</w:t>
      </w:r>
    </w:p>
    <w:p w:rsidR="003A7E22" w:rsidRPr="004B4820" w:rsidRDefault="003A7E22" w:rsidP="00623CF4">
      <w:pPr>
        <w:numPr>
          <w:ilvl w:val="0"/>
          <w:numId w:val="18"/>
        </w:numPr>
        <w:tabs>
          <w:tab w:val="left" w:pos="63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Serviciul de validare calificat pentru semnăturile electronice calificate (art. 33 alin. 1).</w:t>
      </w:r>
    </w:p>
    <w:p w:rsidR="003A7E22" w:rsidRPr="004B4820" w:rsidRDefault="003A7E22" w:rsidP="00623CF4">
      <w:pPr>
        <w:numPr>
          <w:ilvl w:val="0"/>
          <w:numId w:val="18"/>
        </w:numPr>
        <w:tabs>
          <w:tab w:val="left" w:pos="61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Serviciul de validare calificat pentru sigilii electronice calificate (art. 40).</w:t>
      </w:r>
    </w:p>
    <w:p w:rsidR="003A7E22" w:rsidRPr="004B4820" w:rsidRDefault="003A7E22" w:rsidP="00623CF4">
      <w:pPr>
        <w:numPr>
          <w:ilvl w:val="0"/>
          <w:numId w:val="18"/>
        </w:numPr>
        <w:tabs>
          <w:tab w:val="left" w:pos="62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Serviciul de conservare calificat pentru semnăturile electronice calificate (art. 34 alin. 1).</w:t>
      </w:r>
    </w:p>
    <w:p w:rsidR="003A7E22" w:rsidRPr="004B4820" w:rsidRDefault="003A7E22" w:rsidP="00623CF4">
      <w:pPr>
        <w:numPr>
          <w:ilvl w:val="0"/>
          <w:numId w:val="18"/>
        </w:numPr>
        <w:tabs>
          <w:tab w:val="left" w:pos="62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Serviciul de conservare calificat pentru sigilii electronice calificate (art. 40).</w:t>
      </w:r>
    </w:p>
    <w:p w:rsidR="003A7E22" w:rsidRPr="004B4820" w:rsidRDefault="003A7E22" w:rsidP="00623CF4">
      <w:pPr>
        <w:numPr>
          <w:ilvl w:val="0"/>
          <w:numId w:val="18"/>
        </w:numPr>
        <w:tabs>
          <w:tab w:val="left" w:pos="628"/>
        </w:tabs>
        <w:spacing w:line="360" w:lineRule="auto"/>
        <w:jc w:val="both"/>
        <w:rPr>
          <w:rFonts w:ascii="Times New Roman" w:eastAsia="Trebuchet MS" w:hAnsi="Times New Roman" w:cs="Times New Roman"/>
          <w:color w:val="auto"/>
          <w:lang w:eastAsia="en-US"/>
        </w:rPr>
      </w:pPr>
      <w:proofErr w:type="spellStart"/>
      <w:r w:rsidRPr="004B4820">
        <w:rPr>
          <w:rFonts w:ascii="Times New Roman" w:eastAsia="Trebuchet MS" w:hAnsi="Times New Roman" w:cs="Times New Roman"/>
          <w:color w:val="auto"/>
          <w:lang w:eastAsia="en-US"/>
        </w:rPr>
        <w:t>Mărd</w:t>
      </w:r>
      <w:proofErr w:type="spellEnd"/>
      <w:r w:rsidRPr="004B4820">
        <w:rPr>
          <w:rFonts w:ascii="Times New Roman" w:eastAsia="Trebuchet MS" w:hAnsi="Times New Roman" w:cs="Times New Roman"/>
          <w:color w:val="auto"/>
          <w:lang w:eastAsia="en-US"/>
        </w:rPr>
        <w:t xml:space="preserve"> temporale electronice calificate [art. 42. alin. 1 lit. (a) la (c)].</w:t>
      </w:r>
    </w:p>
    <w:p w:rsidR="003A7E22" w:rsidRPr="004B4820" w:rsidRDefault="003A7E22" w:rsidP="00623CF4">
      <w:pPr>
        <w:numPr>
          <w:ilvl w:val="0"/>
          <w:numId w:val="18"/>
        </w:numPr>
        <w:tabs>
          <w:tab w:val="left" w:pos="62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Serviciile de distribuție electronică înregistrată calificate [art. 44 alin. 1 lit. (a) la (f)].</w:t>
      </w:r>
    </w:p>
    <w:p w:rsidR="003A7E22" w:rsidRPr="004B4820" w:rsidRDefault="003A7E22" w:rsidP="00623CF4">
      <w:pPr>
        <w:numPr>
          <w:ilvl w:val="0"/>
          <w:numId w:val="18"/>
        </w:numPr>
        <w:tabs>
          <w:tab w:val="left" w:pos="72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 raportul de audit care se eliberează pe baza standardelor sau pe baza unor specificații accesibile publicului se evidențiază separat neconformitățile și impactul lor asupra serviciilor de încredere calificate furnizate de prestatorul de servicii de încredere.</w:t>
      </w:r>
    </w:p>
    <w:p w:rsidR="003A7E22" w:rsidRPr="004B4820" w:rsidRDefault="003A7E22" w:rsidP="00623CF4">
      <w:pPr>
        <w:numPr>
          <w:ilvl w:val="0"/>
          <w:numId w:val="18"/>
        </w:numPr>
        <w:tabs>
          <w:tab w:val="left" w:pos="72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Detaliază lista părților terțe contractate de către prestatorul de servicii de încredere pentru a efectua toate sau părți ale proceselor-suport în vederea prestării serviciilor</w:t>
      </w:r>
    </w:p>
    <w:p w:rsidR="003A7E22" w:rsidRPr="004B4820" w:rsidRDefault="003A7E22" w:rsidP="00623CF4">
      <w:pPr>
        <w:spacing w:line="360" w:lineRule="auto"/>
        <w:ind w:left="580" w:firstLine="20"/>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sale de încredere calificate (de exemplu, furnizori de servicii internet, curierat, infrastructură etc.). Raportul de evaluare a conformității trebuie să precizeze care dintre aceste părți au fost supuse auditului.</w:t>
      </w:r>
    </w:p>
    <w:p w:rsidR="003A7E22" w:rsidRPr="004B4820" w:rsidRDefault="003A7E22" w:rsidP="00623CF4">
      <w:pPr>
        <w:spacing w:line="360" w:lineRule="auto"/>
        <w:jc w:val="both"/>
        <w:rPr>
          <w:rFonts w:ascii="Times New Roman" w:hAnsi="Times New Roman" w:cs="Times New Roman"/>
          <w:color w:val="auto"/>
        </w:rPr>
      </w:pPr>
    </w:p>
    <w:p w:rsidR="003A7E22" w:rsidRPr="004B4820" w:rsidRDefault="003A7E22" w:rsidP="00623CF4">
      <w:pPr>
        <w:spacing w:line="360" w:lineRule="auto"/>
        <w:jc w:val="both"/>
        <w:rPr>
          <w:rFonts w:ascii="Times New Roman" w:hAnsi="Times New Roman" w:cs="Times New Roman"/>
          <w:color w:val="auto"/>
        </w:rPr>
      </w:pPr>
    </w:p>
    <w:p w:rsidR="003A7E22" w:rsidRPr="004B4820" w:rsidRDefault="003A7E22" w:rsidP="00623CF4">
      <w:pPr>
        <w:numPr>
          <w:ilvl w:val="0"/>
          <w:numId w:val="18"/>
        </w:numPr>
        <w:tabs>
          <w:tab w:val="left" w:pos="7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 indică, atunci când este solicitat de către schema aplicabilă de evaluare a acreditării/conformității, când trebuie să fie efectuat următorul audit de supraveghere si următorul audit de conformitate.</w:t>
      </w:r>
    </w:p>
    <w:p w:rsidR="003A7E22" w:rsidRPr="004B4820" w:rsidRDefault="003A7E22" w:rsidP="00623CF4">
      <w:pPr>
        <w:numPr>
          <w:ilvl w:val="0"/>
          <w:numId w:val="18"/>
        </w:numPr>
        <w:tabs>
          <w:tab w:val="left" w:pos="73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 indică circumstanțele în care un organism acreditat de evaluare a conformității trebuie să fie implicat în reevaluarea prestatorului de servicii de încredere și a serviciilor de încredere calificate, în plus față de auditările planificate.</w:t>
      </w:r>
    </w:p>
    <w:p w:rsidR="00D368F2" w:rsidRPr="004B4820" w:rsidRDefault="00D368F2" w:rsidP="00623CF4">
      <w:pPr>
        <w:pStyle w:val="ListParagraph"/>
        <w:numPr>
          <w:ilvl w:val="0"/>
          <w:numId w:val="18"/>
        </w:numPr>
        <w:spacing w:line="360" w:lineRule="auto"/>
        <w:ind w:left="0"/>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lastRenderedPageBreak/>
        <w:t xml:space="preserve">Declarație auditor-conflict de interes </w:t>
      </w:r>
    </w:p>
    <w:p w:rsidR="000C491A" w:rsidRPr="004B4820" w:rsidRDefault="000C491A" w:rsidP="00623CF4">
      <w:pPr>
        <w:spacing w:line="360" w:lineRule="auto"/>
        <w:jc w:val="both"/>
        <w:rPr>
          <w:rFonts w:ascii="Times New Roman" w:eastAsia="Trebuchet MS" w:hAnsi="Times New Roman" w:cs="Times New Roman"/>
          <w:color w:val="auto"/>
          <w:lang w:eastAsia="en-US"/>
        </w:rPr>
      </w:pPr>
    </w:p>
    <w:p w:rsidR="000C491A" w:rsidRPr="004B4820" w:rsidRDefault="000C491A"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b/>
          <w:bCs/>
          <w:color w:val="auto"/>
          <w:lang w:eastAsia="en-US"/>
        </w:rPr>
        <w:t>Anexa nr. 2</w:t>
      </w:r>
    </w:p>
    <w:p w:rsidR="000C491A" w:rsidRPr="004B4820" w:rsidRDefault="000C491A"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b/>
          <w:bCs/>
          <w:color w:val="auto"/>
          <w:lang w:eastAsia="en-US"/>
        </w:rPr>
        <w:t>PROCEDURA de înregistrare și radiere a prestatorilor de servicii de încredere necalificate în Registrul prestatorilor de servicii de încredere necalificate prevăzuți la art. 21 din Legea nr. 214/2024 privind utilizarea semnăturii electronice, a mărcii temporale și prestarea serviciilor de încredere bazate pe acestea</w:t>
      </w:r>
    </w:p>
    <w:p w:rsidR="000C491A" w:rsidRPr="004B4820" w:rsidRDefault="000C491A" w:rsidP="00623CF4">
      <w:pPr>
        <w:keepNext/>
        <w:keepLines/>
        <w:spacing w:line="360" w:lineRule="auto"/>
        <w:jc w:val="both"/>
        <w:outlineLvl w:val="2"/>
        <w:rPr>
          <w:rFonts w:ascii="Times New Roman" w:eastAsia="Trebuchet MS" w:hAnsi="Times New Roman" w:cs="Times New Roman"/>
          <w:b/>
          <w:bCs/>
          <w:color w:val="auto"/>
          <w:lang w:eastAsia="en-US"/>
        </w:rPr>
      </w:pPr>
      <w:bookmarkStart w:id="11" w:name="bookmark24"/>
      <w:r w:rsidRPr="004B4820">
        <w:rPr>
          <w:rFonts w:ascii="Times New Roman" w:eastAsia="Trebuchet MS" w:hAnsi="Times New Roman" w:cs="Times New Roman"/>
          <w:color w:val="auto"/>
          <w:lang w:eastAsia="en-US"/>
        </w:rPr>
        <w:t>Art. 1</w:t>
      </w:r>
      <w:bookmarkEnd w:id="11"/>
    </w:p>
    <w:p w:rsidR="000C491A" w:rsidRPr="004B4820" w:rsidRDefault="000C491A"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 îndeplinirea rolului prevăzut la art. 21 din Legea nr. 214/2024, ADR:</w:t>
      </w:r>
    </w:p>
    <w:p w:rsidR="000C491A" w:rsidRPr="004B4820" w:rsidRDefault="000C491A" w:rsidP="00623CF4">
      <w:pPr>
        <w:numPr>
          <w:ilvl w:val="0"/>
          <w:numId w:val="22"/>
        </w:numPr>
        <w:tabs>
          <w:tab w:val="left" w:pos="392"/>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înregistrează în Registrul prestatorilor de </w:t>
      </w:r>
      <w:r w:rsidRPr="004B4820">
        <w:rPr>
          <w:rFonts w:ascii="Times New Roman" w:eastAsia="Trebuchet MS" w:hAnsi="Times New Roman" w:cs="Times New Roman"/>
          <w:color w:val="auto"/>
        </w:rPr>
        <w:t>servicii de încredere necalificate</w:t>
      </w:r>
      <w:r w:rsidRPr="004B4820">
        <w:rPr>
          <w:rFonts w:ascii="Times New Roman" w:eastAsia="Trebuchet MS" w:hAnsi="Times New Roman" w:cs="Times New Roman"/>
          <w:color w:val="auto"/>
          <w:lang w:eastAsia="en-US"/>
        </w:rPr>
        <w:t>;</w:t>
      </w:r>
    </w:p>
    <w:p w:rsidR="000C491A" w:rsidRPr="004B4820" w:rsidRDefault="000C491A" w:rsidP="00623CF4">
      <w:pPr>
        <w:numPr>
          <w:ilvl w:val="0"/>
          <w:numId w:val="22"/>
        </w:numPr>
        <w:tabs>
          <w:tab w:val="left" w:pos="402"/>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asigură că prestatorii de servicii de încredere necalificate stabiliți pe teritoriul României și serviciile de încredere necalificate pe care aceștia le prestează îndeplinesc cerințele stabilite de Regulamentul (UE) nr. 910/2014, cu modificările și completările ulterioare, și de Legea nr. 214/2024;</w:t>
      </w:r>
    </w:p>
    <w:p w:rsidR="000C491A" w:rsidRPr="004B4820" w:rsidRDefault="000C491A" w:rsidP="00623CF4">
      <w:pPr>
        <w:numPr>
          <w:ilvl w:val="0"/>
          <w:numId w:val="22"/>
        </w:numPr>
        <w:tabs>
          <w:tab w:val="left" w:pos="39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solicită prestatorilor de servicii de încredere să remedieze orice neîndeplinire a cerințelor prevăzute de Regulamentul (UE) nr. 910/2014, cu modificările și completările ulterioare și de Legea nr. 214/2024 privind utilizarea semnăturii electronice, a mărcii temporale și prestarea serviciilor de încredere bazate pe acestea.</w:t>
      </w:r>
    </w:p>
    <w:p w:rsidR="000C491A" w:rsidRPr="004B4820" w:rsidRDefault="000C491A" w:rsidP="00623CF4">
      <w:pPr>
        <w:keepNext/>
        <w:keepLines/>
        <w:spacing w:line="360" w:lineRule="auto"/>
        <w:jc w:val="both"/>
        <w:outlineLvl w:val="2"/>
        <w:rPr>
          <w:rFonts w:ascii="Times New Roman" w:eastAsia="Trebuchet MS" w:hAnsi="Times New Roman" w:cs="Times New Roman"/>
          <w:b/>
          <w:bCs/>
          <w:color w:val="auto"/>
          <w:lang w:eastAsia="en-US"/>
        </w:rPr>
      </w:pPr>
      <w:bookmarkStart w:id="12" w:name="bookmark26"/>
      <w:r w:rsidRPr="004B4820">
        <w:rPr>
          <w:rFonts w:ascii="Times New Roman" w:eastAsia="Trebuchet MS" w:hAnsi="Times New Roman" w:cs="Times New Roman"/>
          <w:color w:val="auto"/>
          <w:lang w:eastAsia="en-US"/>
        </w:rPr>
        <w:t>Art. 2</w:t>
      </w:r>
      <w:bookmarkEnd w:id="12"/>
    </w:p>
    <w:p w:rsidR="000C491A" w:rsidRPr="004B4820" w:rsidRDefault="000C491A" w:rsidP="00623CF4">
      <w:pPr>
        <w:numPr>
          <w:ilvl w:val="0"/>
          <w:numId w:val="23"/>
        </w:numPr>
        <w:tabs>
          <w:tab w:val="left" w:pos="42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Persoanele juridice care intenționează să presteze servicii de încredere necalificate, inclusiv cele care intenționează să presteze servicii de încredere în cadrul sistemelor închise, transmit, cu 30 de zile înainte de începerea activității, autorității de reglementare și supraveghere specializate în domeniu o cerere și documentația necesară, în vederea înregistrării în Registrul prestatorilor de servicii de încredere necalificate prevăzut la art. 21 din Legea nr. 214/2024 privind utilizarea semnăturii electronice, a mărcii temporale și prestarea serviciilor de încredere bazate pe acestea.</w:t>
      </w:r>
    </w:p>
    <w:p w:rsidR="000C491A" w:rsidRPr="004B4820" w:rsidRDefault="000C491A" w:rsidP="00623CF4">
      <w:pPr>
        <w:numPr>
          <w:ilvl w:val="0"/>
          <w:numId w:val="23"/>
        </w:numPr>
        <w:tabs>
          <w:tab w:val="left" w:pos="40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Cererea (conform modelului prevăzut în anexa 2.1) trebuie să fie însoțită de următoarele documente:</w:t>
      </w:r>
    </w:p>
    <w:p w:rsidR="000C491A" w:rsidRPr="004B4820" w:rsidRDefault="000C491A" w:rsidP="00623CF4">
      <w:pPr>
        <w:numPr>
          <w:ilvl w:val="0"/>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un raport de audit, emis de un auditor înscris în Lista auditorilor de securitate cibernetică valabil atestați (LASC) din cadrul DNSC, care deține atestat de tip General</w:t>
      </w:r>
    </w:p>
    <w:p w:rsidR="000C491A" w:rsidRPr="004B4820" w:rsidRDefault="000C491A" w:rsidP="00623CF4">
      <w:pPr>
        <w:numPr>
          <w:ilvl w:val="0"/>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 gestionată și publicată pe site-ul web al DNSC, care să includă următoarele activități de </w:t>
      </w:r>
      <w:r w:rsidRPr="004B4820">
        <w:rPr>
          <w:rFonts w:ascii="Times New Roman" w:eastAsia="Trebuchet MS" w:hAnsi="Times New Roman" w:cs="Times New Roman"/>
          <w:color w:val="auto"/>
          <w:lang w:eastAsia="en-US"/>
        </w:rPr>
        <w:lastRenderedPageBreak/>
        <w:t>audit de securitate:</w:t>
      </w:r>
    </w:p>
    <w:p w:rsidR="000C491A" w:rsidRPr="004B4820" w:rsidRDefault="000C491A" w:rsidP="00623CF4">
      <w:pPr>
        <w:numPr>
          <w:ilvl w:val="5"/>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 Auditul arhitecturii - constă în verificarea conformității măsurilor de securitate legate de alegerea, poziționarea și implementarea dispozitivelor hardware/software în rețelele și sistemele informatice, cerințele minime de securitate și politicile interne ale operatorului economic. Auditul poate fi extins la interconectările cu rețele terțe, inclusiv internetul. </w:t>
      </w:r>
    </w:p>
    <w:p w:rsidR="000C491A" w:rsidRPr="004B4820" w:rsidRDefault="000C491A" w:rsidP="00623CF4">
      <w:pPr>
        <w:numPr>
          <w:ilvl w:val="5"/>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Auditul de configurare - constă în verificarea implementării măsurilor de securitate în conformitate cu stadiul tehnicii, cerințele minime de securitate și politicile de securitate în ceea ce privește configurația dispozitivelor hardware/software componente ale rețelelor și sistemelor informatice. Aceste dispozitive pot fi în special echipamente de rețea, sisteme de operare (server sau stație de lucru), aplicații sau produse de securitate.</w:t>
      </w:r>
    </w:p>
    <w:p w:rsidR="000C491A" w:rsidRPr="004B4820" w:rsidRDefault="000C491A" w:rsidP="00623CF4">
      <w:pPr>
        <w:numPr>
          <w:ilvl w:val="5"/>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 Auditul de penetrare sau Testarea de penetrare constă în identificarea vulnerabilităților din rețelele și sistemele informatice și verificarea posibilităților de exploatare a acestora, precum și a impactului exploatării acestora asupra rețelei, în condițiile reale ale unui atac cibernetic asupra rețelelor și sistemelor informatice. Activitatea de audit poate fi desfășurată fie din afara rețelei (în special din internet sau din rețeaua interconectată a unei terțe părți), fie din interiorul </w:t>
      </w:r>
      <w:proofErr w:type="spellStart"/>
      <w:r w:rsidRPr="004B4820">
        <w:rPr>
          <w:rFonts w:ascii="Times New Roman" w:eastAsia="Trebuchet MS" w:hAnsi="Times New Roman" w:cs="Times New Roman"/>
          <w:color w:val="auto"/>
          <w:lang w:eastAsia="en-US"/>
        </w:rPr>
        <w:t>rețelei,și</w:t>
      </w:r>
      <w:proofErr w:type="spellEnd"/>
      <w:r w:rsidRPr="004B4820">
        <w:rPr>
          <w:rFonts w:ascii="Times New Roman" w:eastAsia="Trebuchet MS" w:hAnsi="Times New Roman" w:cs="Times New Roman"/>
          <w:color w:val="auto"/>
          <w:lang w:eastAsia="en-US"/>
        </w:rPr>
        <w:t xml:space="preserve"> reprezintă o activitate care trebuie efectuată în complementaritate cu alte activități de audit pentru a le îmbunătăți eficacitatea sau pentru a demonstra fezabilitatea exploatării vulnerabilităților descoperite.</w:t>
      </w:r>
    </w:p>
    <w:p w:rsidR="000C491A" w:rsidRPr="004B4820" w:rsidRDefault="000C491A" w:rsidP="00623CF4">
      <w:pPr>
        <w:numPr>
          <w:ilvl w:val="5"/>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Auditul securității organizației - constă în auditul organizației cu privire la securitatea logică și fizică și urmărește să se asigure că politicile și procedurile de securitate definite de operatorul economic:</w:t>
      </w:r>
    </w:p>
    <w:p w:rsidR="000C491A" w:rsidRPr="004B4820" w:rsidRDefault="000C491A" w:rsidP="00623CF4">
      <w:pPr>
        <w:numPr>
          <w:ilvl w:val="8"/>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Segoe UI Symbol" w:eastAsia="Trebuchet MS" w:hAnsi="Segoe UI Symbol" w:cs="Segoe UI Symbol"/>
          <w:color w:val="auto"/>
          <w:lang w:eastAsia="en-US"/>
        </w:rPr>
        <w:t>✓</w:t>
      </w:r>
      <w:r w:rsidRPr="004B4820">
        <w:rPr>
          <w:rFonts w:ascii="Times New Roman" w:eastAsia="Trebuchet MS" w:hAnsi="Times New Roman" w:cs="Times New Roman"/>
          <w:color w:val="auto"/>
          <w:lang w:eastAsia="en-US"/>
        </w:rPr>
        <w:t xml:space="preserve"> sunt conforme cu nevoile de securitate ale operatorului economic auditat, nivelul tehnologic și standardele în vigoare; </w:t>
      </w:r>
    </w:p>
    <w:p w:rsidR="000C491A" w:rsidRPr="004B4820" w:rsidRDefault="000C491A" w:rsidP="00623CF4">
      <w:pPr>
        <w:numPr>
          <w:ilvl w:val="8"/>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Segoe UI Symbol" w:eastAsia="Trebuchet MS" w:hAnsi="Segoe UI Symbol" w:cs="Segoe UI Symbol"/>
          <w:color w:val="auto"/>
          <w:lang w:eastAsia="en-US"/>
        </w:rPr>
        <w:t>✓</w:t>
      </w:r>
      <w:r w:rsidRPr="004B4820">
        <w:rPr>
          <w:rFonts w:ascii="Times New Roman" w:eastAsia="Trebuchet MS" w:hAnsi="Times New Roman" w:cs="Times New Roman"/>
          <w:color w:val="auto"/>
          <w:lang w:eastAsia="en-US"/>
        </w:rPr>
        <w:t xml:space="preserve"> completează corect măsurile tehnice implementate; </w:t>
      </w:r>
    </w:p>
    <w:p w:rsidR="000C491A" w:rsidRPr="004B4820" w:rsidRDefault="000C491A" w:rsidP="00623CF4">
      <w:pPr>
        <w:numPr>
          <w:ilvl w:val="8"/>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Segoe UI Symbol" w:eastAsia="Trebuchet MS" w:hAnsi="Segoe UI Symbol" w:cs="Segoe UI Symbol"/>
          <w:color w:val="auto"/>
          <w:lang w:eastAsia="en-US"/>
        </w:rPr>
        <w:t>✓</w:t>
      </w:r>
      <w:r w:rsidRPr="004B4820">
        <w:rPr>
          <w:rFonts w:ascii="Times New Roman" w:eastAsia="Trebuchet MS" w:hAnsi="Times New Roman" w:cs="Times New Roman"/>
          <w:color w:val="auto"/>
          <w:lang w:eastAsia="en-US"/>
        </w:rPr>
        <w:t xml:space="preserve"> sunt puse efectiv în practică. </w:t>
      </w:r>
    </w:p>
    <w:p w:rsidR="000C491A" w:rsidRPr="004B4820" w:rsidRDefault="000C491A" w:rsidP="00623CF4">
      <w:pPr>
        <w:numPr>
          <w:ilvl w:val="5"/>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De asemenea, auditorul de securitate cibernetică trebuie să se asigure că aspectele fizice ale securității rețelelor și sistemelor informatice sunt acoperite corespunzător. </w:t>
      </w:r>
    </w:p>
    <w:p w:rsidR="000C491A" w:rsidRPr="004B4820" w:rsidRDefault="000C491A" w:rsidP="00623CF4">
      <w:pPr>
        <w:numPr>
          <w:ilvl w:val="0"/>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precum și toate informațiile referitoare la procedurile de securitate și de certificare utilizate;</w:t>
      </w:r>
    </w:p>
    <w:p w:rsidR="000C491A" w:rsidRPr="004B4820" w:rsidRDefault="000C491A" w:rsidP="00623CF4">
      <w:pPr>
        <w:numPr>
          <w:ilvl w:val="0"/>
          <w:numId w:val="24"/>
        </w:numPr>
        <w:tabs>
          <w:tab w:val="left" w:pos="3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o scrisoare de garanție din partea unei instituții financiar-bancare sau o poliță de asigurare de răspundere civilă pentru riscurile legate de prestarea serviciilor de încredere, în valoare de </w:t>
      </w:r>
      <w:r w:rsidRPr="004B4820">
        <w:rPr>
          <w:rFonts w:ascii="Times New Roman" w:eastAsia="Trebuchet MS" w:hAnsi="Times New Roman" w:cs="Times New Roman"/>
          <w:color w:val="auto"/>
          <w:lang w:eastAsia="en-US"/>
        </w:rPr>
        <w:lastRenderedPageBreak/>
        <w:t>100.000 euro;</w:t>
      </w:r>
    </w:p>
    <w:p w:rsidR="000C491A" w:rsidRPr="004B4820" w:rsidRDefault="000C491A" w:rsidP="00623CF4">
      <w:pPr>
        <w:numPr>
          <w:ilvl w:val="0"/>
          <w:numId w:val="24"/>
        </w:numPr>
        <w:tabs>
          <w:tab w:val="left" w:pos="33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descrierea soluției tehnice;</w:t>
      </w:r>
    </w:p>
    <w:p w:rsidR="000C491A" w:rsidRPr="004B4820" w:rsidRDefault="000C491A" w:rsidP="00623CF4">
      <w:pPr>
        <w:numPr>
          <w:ilvl w:val="0"/>
          <w:numId w:val="24"/>
        </w:numPr>
        <w:tabs>
          <w:tab w:val="left" w:pos="34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declarația pe propria răspundere a reprezentantului legal al prestatorului cu privire la respectarea, în cadrul procesului de prestare a serviciilor de încredere, a cerințelor REGULAMENTUL (UE) 2016/679 AL PARLAMENTULUI EUROPEAN Șl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0C491A" w:rsidRPr="004B4820" w:rsidRDefault="000C491A" w:rsidP="00623CF4">
      <w:pPr>
        <w:numPr>
          <w:ilvl w:val="0"/>
          <w:numId w:val="24"/>
        </w:numPr>
        <w:tabs>
          <w:tab w:val="left" w:pos="33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planul de securitate al sistemului informatic utilizat;</w:t>
      </w:r>
    </w:p>
    <w:p w:rsidR="000C491A" w:rsidRPr="004B4820" w:rsidRDefault="000C491A" w:rsidP="00623CF4">
      <w:pPr>
        <w:numPr>
          <w:ilvl w:val="0"/>
          <w:numId w:val="24"/>
        </w:numPr>
        <w:tabs>
          <w:tab w:val="left" w:pos="30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politicile</w:t>
      </w:r>
      <w:r w:rsidR="004B4820" w:rsidRPr="004B4820">
        <w:rPr>
          <w:rFonts w:ascii="Times New Roman" w:eastAsia="Trebuchet MS" w:hAnsi="Times New Roman" w:cs="Times New Roman"/>
          <w:color w:val="auto"/>
          <w:lang w:eastAsia="en-US"/>
        </w:rPr>
        <w:t xml:space="preserve">, </w:t>
      </w:r>
      <w:r w:rsidRPr="004B4820">
        <w:rPr>
          <w:rFonts w:ascii="Times New Roman" w:eastAsia="Trebuchet MS" w:hAnsi="Times New Roman" w:cs="Times New Roman"/>
          <w:color w:val="auto"/>
          <w:lang w:eastAsia="en-US"/>
        </w:rPr>
        <w:t>și procedurile de prestare a serviciilor de încredere;</w:t>
      </w:r>
    </w:p>
    <w:p w:rsidR="000C491A" w:rsidRPr="004B4820" w:rsidRDefault="000C491A" w:rsidP="00623CF4">
      <w:pPr>
        <w:numPr>
          <w:ilvl w:val="0"/>
          <w:numId w:val="24"/>
        </w:numPr>
        <w:tabs>
          <w:tab w:val="left" w:pos="3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arhitectura detaliată a serviciului de încredere (de exemplu, ierarhia PKI - infrastructura cheii publice</w:t>
      </w:r>
      <w:r w:rsidR="004B4820">
        <w:rPr>
          <w:rFonts w:ascii="Times New Roman" w:eastAsia="Trebuchet MS" w:hAnsi="Times New Roman" w:cs="Times New Roman"/>
          <w:color w:val="auto"/>
          <w:lang w:eastAsia="en-US"/>
        </w:rPr>
        <w:t>;</w:t>
      </w:r>
    </w:p>
    <w:p w:rsidR="000C491A" w:rsidRPr="004B4820" w:rsidRDefault="000C491A" w:rsidP="00623CF4">
      <w:pPr>
        <w:numPr>
          <w:ilvl w:val="0"/>
          <w:numId w:val="24"/>
        </w:numPr>
        <w:tabs>
          <w:tab w:val="left" w:pos="34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declarație pe proprie răspundere a reprezentantului legal din care sa rezulte efectuarea testelor de penetrare, perioada de efectuare a acestora și faptul că au fost adresate </w:t>
      </w:r>
      <w:proofErr w:type="spellStart"/>
      <w:r w:rsidRPr="004B4820">
        <w:rPr>
          <w:rFonts w:ascii="Times New Roman" w:eastAsia="Trebuchet MS" w:hAnsi="Times New Roman" w:cs="Times New Roman"/>
          <w:color w:val="auto"/>
          <w:lang w:eastAsia="en-US"/>
        </w:rPr>
        <w:t>gap</w:t>
      </w:r>
      <w:proofErr w:type="spellEnd"/>
      <w:r w:rsidRPr="004B4820">
        <w:rPr>
          <w:rFonts w:ascii="Times New Roman" w:eastAsia="Trebuchet MS" w:hAnsi="Times New Roman" w:cs="Times New Roman"/>
          <w:color w:val="auto"/>
          <w:lang w:eastAsia="en-US"/>
        </w:rPr>
        <w:t>-urile identificate;</w:t>
      </w:r>
    </w:p>
    <w:p w:rsidR="000C491A" w:rsidRPr="004B4820" w:rsidRDefault="000C491A" w:rsidP="00623CF4">
      <w:pPr>
        <w:numPr>
          <w:ilvl w:val="0"/>
          <w:numId w:val="24"/>
        </w:numPr>
        <w:tabs>
          <w:tab w:val="left" w:pos="28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declarație pe proprie răspundere a reprezentantului legal din care să rezulte că în procesul de emitere a serviciilor de încredere este implicat personal cu cunoștințe de specialitate, experiență și calificare, și planul de instruire în conformitate cu prevederile art.12 alin.(2) </w:t>
      </w:r>
      <w:proofErr w:type="spellStart"/>
      <w:r w:rsidRPr="004B4820">
        <w:rPr>
          <w:rFonts w:ascii="Times New Roman" w:eastAsia="Trebuchet MS" w:hAnsi="Times New Roman" w:cs="Times New Roman"/>
          <w:color w:val="auto"/>
          <w:lang w:eastAsia="en-US"/>
        </w:rPr>
        <w:t>lit.e</w:t>
      </w:r>
      <w:proofErr w:type="spellEnd"/>
      <w:r w:rsidRPr="004B4820">
        <w:rPr>
          <w:rFonts w:ascii="Times New Roman" w:eastAsia="Trebuchet MS" w:hAnsi="Times New Roman" w:cs="Times New Roman"/>
          <w:color w:val="auto"/>
          <w:lang w:eastAsia="en-US"/>
        </w:rPr>
        <w:t>) din Legea nr.214/2024;</w:t>
      </w:r>
    </w:p>
    <w:p w:rsidR="000C491A" w:rsidRPr="004B4820" w:rsidRDefault="000C491A" w:rsidP="00623CF4">
      <w:pPr>
        <w:numPr>
          <w:ilvl w:val="0"/>
          <w:numId w:val="24"/>
        </w:numPr>
        <w:tabs>
          <w:tab w:val="left" w:pos="33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termenii și condițiile pe care prestatorul de servicii de încredere le va </w:t>
      </w:r>
      <w:r w:rsidRPr="004B4820">
        <w:rPr>
          <w:rFonts w:ascii="Times New Roman" w:eastAsia="Trebuchet MS" w:hAnsi="Times New Roman" w:cs="Times New Roman"/>
          <w:strike/>
          <w:color w:val="auto"/>
          <w:lang w:eastAsia="en-US"/>
        </w:rPr>
        <w:t>semna</w:t>
      </w:r>
      <w:r w:rsidRPr="004B4820">
        <w:rPr>
          <w:rFonts w:ascii="Times New Roman" w:eastAsia="Trebuchet MS" w:hAnsi="Times New Roman" w:cs="Times New Roman"/>
          <w:color w:val="auto"/>
          <w:lang w:eastAsia="en-US"/>
        </w:rPr>
        <w:t xml:space="preserve"> încheia cu utilizatorul final, în cazul emiterii de semnături avansate cu certificat;</w:t>
      </w:r>
    </w:p>
    <w:p w:rsidR="000C491A" w:rsidRPr="004B4820" w:rsidRDefault="000C491A" w:rsidP="00623CF4">
      <w:pPr>
        <w:numPr>
          <w:ilvl w:val="0"/>
          <w:numId w:val="24"/>
        </w:numPr>
        <w:tabs>
          <w:tab w:val="left" w:pos="28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datele de contact ale prestatorului de servicii de încredere (e-mail, număr de telefon, site web);</w:t>
      </w:r>
    </w:p>
    <w:p w:rsidR="000C491A" w:rsidRPr="004B4820" w:rsidRDefault="000C491A" w:rsidP="00623CF4">
      <w:pPr>
        <w:numPr>
          <w:ilvl w:val="0"/>
          <w:numId w:val="24"/>
        </w:numPr>
        <w:tabs>
          <w:tab w:val="left" w:pos="32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actul constitutiv al prestatorului de servicii de încredere din care să rezulte că are specificată în obiectul de activitate desfășurarea de activități în domeniile tehnologiei informației sau serviciilor informaționale;</w:t>
      </w:r>
    </w:p>
    <w:p w:rsidR="000C491A" w:rsidRPr="004B4820" w:rsidRDefault="000C491A" w:rsidP="00623CF4">
      <w:pPr>
        <w:numPr>
          <w:ilvl w:val="0"/>
          <w:numId w:val="24"/>
        </w:numPr>
        <w:tabs>
          <w:tab w:val="left" w:pos="32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împuternicire pentru persoana delegată să semneze în numele reprezentantului legal al prestatorului de servicii de încredere;</w:t>
      </w:r>
    </w:p>
    <w:p w:rsidR="000C491A" w:rsidRPr="004B4820" w:rsidRDefault="000C491A" w:rsidP="00623CF4">
      <w:pPr>
        <w:numPr>
          <w:ilvl w:val="0"/>
          <w:numId w:val="24"/>
        </w:numPr>
        <w:tabs>
          <w:tab w:val="left" w:pos="30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dovezi că prestatorul de servicii de încredere deține resurse financiare suficiente și a obținut o asigurare de răspundere corespunzătoare în ceea ce privește prestarea serviciilor de încredere pentru care se solicită un statut de furnizor de servicii de încredere necalificat, incluzând copii </w:t>
      </w:r>
      <w:r w:rsidRPr="004B4820">
        <w:rPr>
          <w:rFonts w:ascii="Times New Roman" w:eastAsia="Trebuchet MS" w:hAnsi="Times New Roman" w:cs="Times New Roman"/>
          <w:color w:val="auto"/>
          <w:lang w:eastAsia="en-US"/>
        </w:rPr>
        <w:lastRenderedPageBreak/>
        <w:t>ale contului de profit și pierdere și ale balanței contabile pentru ultimii 3 ani pentru conturile care au fost înscrise; în lipsa acesteia, declarații bancare corespunzătoare;</w:t>
      </w:r>
    </w:p>
    <w:p w:rsidR="000C491A" w:rsidRPr="004B4820" w:rsidRDefault="000C491A" w:rsidP="00623CF4">
      <w:pPr>
        <w:numPr>
          <w:ilvl w:val="0"/>
          <w:numId w:val="24"/>
        </w:numPr>
        <w:tabs>
          <w:tab w:val="left" w:pos="39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 de continuitate a afacerii și recuperare în caz de dezastru;</w:t>
      </w:r>
    </w:p>
    <w:p w:rsidR="000C491A" w:rsidRPr="004B4820" w:rsidRDefault="000C491A" w:rsidP="00623CF4">
      <w:pPr>
        <w:numPr>
          <w:ilvl w:val="0"/>
          <w:numId w:val="24"/>
        </w:numPr>
        <w:tabs>
          <w:tab w:val="left" w:pos="3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lista standardelor în baza cărora operațiile sunt efectuate, auditate, evaluate sau certificate pentru a fi conforme;</w:t>
      </w:r>
    </w:p>
    <w:p w:rsidR="000C491A" w:rsidRPr="004B4820" w:rsidRDefault="000C491A" w:rsidP="00623CF4">
      <w:pPr>
        <w:numPr>
          <w:ilvl w:val="0"/>
          <w:numId w:val="24"/>
        </w:numPr>
        <w:tabs>
          <w:tab w:val="left" w:pos="33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procedura de notificare a Autorității Naționale de Supraveghere a Prelucrării Datelor cu Caracter Personal privind încălcarea securității sau pierderea integrității care are un impact semnificativ asupra serviciului de încredere prestat sau asupra datelor cu caracter personal păstrate de prestatorul de servicii menită să sprijine demonstrarea cerinței art. 19.2 din Regulamentul (UE) nr. 910/2014, cu modificările și completările ulterioare;</w:t>
      </w:r>
    </w:p>
    <w:p w:rsidR="000C491A" w:rsidRPr="004B4820" w:rsidRDefault="000C491A" w:rsidP="00623CF4">
      <w:pPr>
        <w:numPr>
          <w:ilvl w:val="0"/>
          <w:numId w:val="24"/>
        </w:numPr>
        <w:tabs>
          <w:tab w:val="left" w:pos="32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certificate de conformitate a dispozitivelor utilizate în emiterea certificatelor pentru semnătură electronică avansată;</w:t>
      </w:r>
    </w:p>
    <w:p w:rsidR="000C491A" w:rsidRPr="004B4820" w:rsidRDefault="000C491A" w:rsidP="00623CF4">
      <w:pPr>
        <w:numPr>
          <w:ilvl w:val="0"/>
          <w:numId w:val="24"/>
        </w:numPr>
        <w:tabs>
          <w:tab w:val="left" w:pos="327"/>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planul de încetare a activității în conformitate cu cerințele art. 24.2. (i) din Regulamentul (UE) nr. 910/2014 cu modificările și completările ulterioare;</w:t>
      </w:r>
    </w:p>
    <w:p w:rsidR="000C491A" w:rsidRPr="004B4820" w:rsidRDefault="000C491A" w:rsidP="00623CF4">
      <w:pPr>
        <w:numPr>
          <w:ilvl w:val="0"/>
          <w:numId w:val="24"/>
        </w:numPr>
        <w:tabs>
          <w:tab w:val="left" w:pos="30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adresa WEB a prestatorului;</w:t>
      </w:r>
    </w:p>
    <w:p w:rsidR="000C491A" w:rsidRPr="004B4820" w:rsidRDefault="000C491A" w:rsidP="00623CF4">
      <w:pPr>
        <w:numPr>
          <w:ilvl w:val="0"/>
          <w:numId w:val="24"/>
        </w:numPr>
        <w:tabs>
          <w:tab w:val="left" w:pos="30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decizia de acreditare ca administrator de arhivă electronică, în conformitate cu prevederile Legii nr. 135/2007 privind arhivarea documentelor electronice, sau contractul încheiat cu un administrator de arhivă electronică acreditat;</w:t>
      </w:r>
    </w:p>
    <w:p w:rsidR="000C491A" w:rsidRPr="004B4820" w:rsidRDefault="000C491A" w:rsidP="00623CF4">
      <w:pPr>
        <w:numPr>
          <w:ilvl w:val="0"/>
          <w:numId w:val="24"/>
        </w:numPr>
        <w:tabs>
          <w:tab w:val="left" w:pos="30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schema de încadrare a personalului implicat în procesul de emitere a serviciilor de încredere, certificările/calificările acestora și planul de instruire în conformitate cu art. 12, alin. (2), lit. e) din Legea nr. 214/2024 privind utilizarea semnăturii electronice, a mărcii temporale și prestarea serviciilor de încredere bazate pe acestea;</w:t>
      </w:r>
    </w:p>
    <w:p w:rsidR="000C491A" w:rsidRPr="004B4820" w:rsidRDefault="000C491A" w:rsidP="00623CF4">
      <w:pPr>
        <w:numPr>
          <w:ilvl w:val="0"/>
          <w:numId w:val="24"/>
        </w:numPr>
        <w:tabs>
          <w:tab w:val="left" w:pos="31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minim două surse de timp precise, legate de ora universală.</w:t>
      </w:r>
    </w:p>
    <w:p w:rsidR="000C491A" w:rsidRPr="004B4820" w:rsidRDefault="000C491A" w:rsidP="00623CF4">
      <w:pPr>
        <w:numPr>
          <w:ilvl w:val="0"/>
          <w:numId w:val="25"/>
        </w:numPr>
        <w:tabs>
          <w:tab w:val="left" w:pos="40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Pentru menținerea în registru, prestatorii de servicii de încredere necalificate vor audita o dată la maxim 2 ani întregul sistemul informatic și vor transmite către organismul de raportul de audit. Auditul se realizează pe cheltuiala prestatorului de servicii de încredere.</w:t>
      </w:r>
    </w:p>
    <w:p w:rsidR="000C491A" w:rsidRPr="004B4820" w:rsidRDefault="000C491A" w:rsidP="00623CF4">
      <w:pPr>
        <w:numPr>
          <w:ilvl w:val="0"/>
          <w:numId w:val="25"/>
        </w:numPr>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Autoritățile și instituțiile publice care emit certificate digitale pentru crearea semnăturii electronice avansate depun la ADR aceeași documentație prevăzută la alin. (2) și (3).</w:t>
      </w:r>
    </w:p>
    <w:p w:rsidR="000C491A" w:rsidRPr="004B4820" w:rsidRDefault="000C491A" w:rsidP="00623CF4">
      <w:pPr>
        <w:numPr>
          <w:ilvl w:val="0"/>
          <w:numId w:val="25"/>
        </w:numPr>
        <w:tabs>
          <w:tab w:val="left" w:pos="41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în termen de 30 de zile de la primirea notificării transmise de către entitățile care intenționează să presteze servicii de încredere necalificate, dacă acestea îndeplinesc condițiile legale pentru prestarea serviciilor de încredere, ADR înregistrează prestatorul de servicii de </w:t>
      </w:r>
      <w:r w:rsidRPr="004B4820">
        <w:rPr>
          <w:rFonts w:ascii="Times New Roman" w:eastAsia="Trebuchet MS" w:hAnsi="Times New Roman" w:cs="Times New Roman"/>
          <w:color w:val="auto"/>
          <w:lang w:eastAsia="en-US"/>
        </w:rPr>
        <w:lastRenderedPageBreak/>
        <w:t>încredere necalificate în Registrul prestatorilor de servicii de încredere calificate și necalificate prevăzut la art. 21 din Legea nr. 214/2024 privind utilizarea semnăturii electronice, a mărcii temporale și prestarea serviciilor de încredere bazate pe acestea.</w:t>
      </w:r>
    </w:p>
    <w:p w:rsidR="000C491A" w:rsidRPr="004B4820" w:rsidRDefault="000C491A" w:rsidP="00623CF4">
      <w:pPr>
        <w:keepNext/>
        <w:keepLines/>
        <w:numPr>
          <w:ilvl w:val="0"/>
          <w:numId w:val="25"/>
        </w:numPr>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Prestatorii de servicii de încredere care emit certificate pentru semnătură electronică avansată sunt obligați să utilizeze în procesul de identificare a solicitantului certificatului mijloace de identificare reglementate și recunoscute la nivel </w:t>
      </w:r>
      <w:proofErr w:type="spellStart"/>
      <w:r w:rsidRPr="004B4820">
        <w:rPr>
          <w:rFonts w:ascii="Times New Roman" w:eastAsia="Trebuchet MS" w:hAnsi="Times New Roman" w:cs="Times New Roman"/>
          <w:color w:val="auto"/>
          <w:lang w:eastAsia="en-US"/>
        </w:rPr>
        <w:t>national</w:t>
      </w:r>
      <w:proofErr w:type="spellEnd"/>
      <w:r w:rsidRPr="004B4820">
        <w:rPr>
          <w:rFonts w:ascii="Times New Roman" w:eastAsia="Trebuchet MS" w:hAnsi="Times New Roman" w:cs="Times New Roman"/>
          <w:color w:val="auto"/>
          <w:lang w:eastAsia="en-US"/>
        </w:rPr>
        <w:t>, inclusiv, dacă sunt disponibile, a mijloacelor de identificare electronică și a serviciilor de încredere relevante prevăzute de Regulamentul (UE) nr. 910/2014 cu modificările și completările ulterioare, de Legea nr. 214/2024 privind utilizarea semnăturii electronice, a mărcii temporale și prestarea serviciilor de încredere bazate pe acestea sau a oricărui alt proces de identificare sigur, la distanță sau electronic, reglementat, recunoscut, aprobat sau acceptat la nivel național de către Autoritatea pentru Digitalizarea României.</w:t>
      </w:r>
      <w:bookmarkStart w:id="13" w:name="bookmark28"/>
    </w:p>
    <w:p w:rsidR="000C491A" w:rsidRPr="004B4820" w:rsidRDefault="000C491A" w:rsidP="00623CF4">
      <w:pPr>
        <w:keepNext/>
        <w:keepLines/>
        <w:tabs>
          <w:tab w:val="left" w:pos="399"/>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b/>
          <w:bCs/>
          <w:color w:val="auto"/>
          <w:lang w:eastAsia="en-US"/>
        </w:rPr>
        <w:t>Art. 3</w:t>
      </w:r>
      <w:bookmarkEnd w:id="13"/>
    </w:p>
    <w:p w:rsidR="000C491A" w:rsidRPr="004B4820" w:rsidRDefault="000C491A"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Prestatorii de servicii de încredere informează organismul de supraveghere cu cel puțin o lună înainte de începerea activității de audit și, la cerere, îi permit organismului de supraveghere să participe în calitate de observator.</w:t>
      </w:r>
    </w:p>
    <w:p w:rsidR="000C491A" w:rsidRPr="004B4820" w:rsidRDefault="000C491A" w:rsidP="00623CF4">
      <w:pPr>
        <w:keepNext/>
        <w:keepLines/>
        <w:spacing w:line="360" w:lineRule="auto"/>
        <w:jc w:val="both"/>
        <w:outlineLvl w:val="2"/>
        <w:rPr>
          <w:rFonts w:ascii="Times New Roman" w:eastAsia="Trebuchet MS" w:hAnsi="Times New Roman" w:cs="Times New Roman"/>
          <w:b/>
          <w:bCs/>
          <w:color w:val="auto"/>
          <w:lang w:eastAsia="en-US"/>
        </w:rPr>
      </w:pPr>
      <w:bookmarkStart w:id="14" w:name="bookmark30"/>
      <w:r w:rsidRPr="004B4820">
        <w:rPr>
          <w:rFonts w:ascii="Times New Roman" w:eastAsia="Trebuchet MS" w:hAnsi="Times New Roman" w:cs="Times New Roman"/>
          <w:color w:val="auto"/>
          <w:lang w:eastAsia="en-US"/>
        </w:rPr>
        <w:t>Art. 4</w:t>
      </w:r>
      <w:bookmarkEnd w:id="14"/>
    </w:p>
    <w:p w:rsidR="000C491A" w:rsidRPr="004B4820" w:rsidRDefault="000C491A"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(1) Prestatorul de servicii de încredere are obligația ca, în cazul modificării unor informații și/sau documente prevăzute la art. 2, alin. (2), să notifice ADR și să depună originalul sau copia documentelor modificate în termen de maximum 60 de zile de la data efectuării modificării.</w:t>
      </w:r>
    </w:p>
    <w:p w:rsidR="000C491A" w:rsidRPr="004B4820" w:rsidRDefault="000C491A" w:rsidP="00623CF4">
      <w:pPr>
        <w:keepNext/>
        <w:keepLines/>
        <w:spacing w:line="360" w:lineRule="auto"/>
        <w:jc w:val="both"/>
        <w:outlineLvl w:val="2"/>
        <w:rPr>
          <w:rFonts w:ascii="Times New Roman" w:eastAsia="Trebuchet MS" w:hAnsi="Times New Roman" w:cs="Times New Roman"/>
          <w:b/>
          <w:bCs/>
          <w:color w:val="auto"/>
          <w:lang w:eastAsia="en-US"/>
        </w:rPr>
      </w:pPr>
      <w:bookmarkStart w:id="15" w:name="bookmark32"/>
      <w:r w:rsidRPr="004B4820">
        <w:rPr>
          <w:rFonts w:ascii="Times New Roman" w:eastAsia="Trebuchet MS" w:hAnsi="Times New Roman" w:cs="Times New Roman"/>
          <w:color w:val="auto"/>
          <w:lang w:eastAsia="en-US"/>
        </w:rPr>
        <w:t>Art. 5</w:t>
      </w:r>
      <w:bookmarkEnd w:id="15"/>
    </w:p>
    <w:p w:rsidR="000C491A" w:rsidRPr="004B4820" w:rsidRDefault="000C491A" w:rsidP="00623CF4">
      <w:pPr>
        <w:numPr>
          <w:ilvl w:val="0"/>
          <w:numId w:val="26"/>
        </w:numPr>
        <w:tabs>
          <w:tab w:val="left" w:pos="44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Radierea prestatorilor de servicii de încredere necalificate, entități private, din Registrul prestatorilor de servicii de încredere necalificate se va efectua în oricare dintre următoarele </w:t>
      </w:r>
      <w:proofErr w:type="spellStart"/>
      <w:r w:rsidRPr="004B4820">
        <w:rPr>
          <w:rFonts w:ascii="Times New Roman" w:eastAsia="Trebuchet MS" w:hAnsi="Times New Roman" w:cs="Times New Roman"/>
          <w:color w:val="auto"/>
          <w:lang w:eastAsia="en-US"/>
        </w:rPr>
        <w:t>situatii</w:t>
      </w:r>
      <w:proofErr w:type="spellEnd"/>
      <w:r w:rsidRPr="004B4820">
        <w:rPr>
          <w:rFonts w:ascii="Times New Roman" w:eastAsia="Trebuchet MS" w:hAnsi="Times New Roman" w:cs="Times New Roman"/>
          <w:color w:val="auto"/>
          <w:lang w:eastAsia="en-US"/>
        </w:rPr>
        <w:t>:</w:t>
      </w:r>
    </w:p>
    <w:p w:rsidR="000C491A" w:rsidRPr="004B4820" w:rsidRDefault="000C491A" w:rsidP="00623CF4">
      <w:pPr>
        <w:numPr>
          <w:ilvl w:val="0"/>
          <w:numId w:val="27"/>
        </w:numPr>
        <w:tabs>
          <w:tab w:val="left" w:pos="35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la cererea acestora;</w:t>
      </w:r>
    </w:p>
    <w:p w:rsidR="000C491A" w:rsidRPr="004B4820" w:rsidRDefault="000C491A" w:rsidP="00623CF4">
      <w:pPr>
        <w:numPr>
          <w:ilvl w:val="0"/>
          <w:numId w:val="27"/>
        </w:numPr>
        <w:tabs>
          <w:tab w:val="left" w:pos="35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 cazul lichidării sau la declanșarea insolvenței;</w:t>
      </w:r>
    </w:p>
    <w:p w:rsidR="000C491A" w:rsidRPr="004B4820" w:rsidRDefault="000C491A" w:rsidP="00623CF4">
      <w:pPr>
        <w:numPr>
          <w:ilvl w:val="0"/>
          <w:numId w:val="27"/>
        </w:numPr>
        <w:tabs>
          <w:tab w:val="left" w:pos="353"/>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 cazul nerespectării prevederilor prezentei proceduri;</w:t>
      </w:r>
    </w:p>
    <w:p w:rsidR="000C491A" w:rsidRPr="004B4820" w:rsidRDefault="000C491A" w:rsidP="00623CF4">
      <w:pPr>
        <w:numPr>
          <w:ilvl w:val="0"/>
          <w:numId w:val="27"/>
        </w:numPr>
        <w:tabs>
          <w:tab w:val="left" w:pos="36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la expirarea valabilității documentelor prevăzute la art. 2, alin. (2), lit. b);</w:t>
      </w:r>
    </w:p>
    <w:p w:rsidR="000C491A" w:rsidRPr="004B4820" w:rsidRDefault="000C491A" w:rsidP="00623CF4">
      <w:pPr>
        <w:numPr>
          <w:ilvl w:val="0"/>
          <w:numId w:val="27"/>
        </w:numPr>
        <w:tabs>
          <w:tab w:val="left" w:pos="36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la nerespectarea termenelor de soluționare a măsurilor dispuse în urma controalelor efectuate de organismul de supraveghere.</w:t>
      </w:r>
    </w:p>
    <w:p w:rsidR="000C491A" w:rsidRPr="004B4820" w:rsidRDefault="000C491A" w:rsidP="00623CF4">
      <w:pPr>
        <w:numPr>
          <w:ilvl w:val="0"/>
          <w:numId w:val="26"/>
        </w:numPr>
        <w:tabs>
          <w:tab w:val="left" w:pos="42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lastRenderedPageBreak/>
        <w:t>Organismul de supraveghere desemnat la art. 19, alin. (1) din Legea nr. 214/2024 privind utilizarea semnăturii electronice, a mărcii temporale și prestarea serviciilor de încredere bazate pe acestea informează prestatorul de servicii de încredere cu privire la radierea din registru.</w:t>
      </w:r>
    </w:p>
    <w:p w:rsidR="000C491A" w:rsidRPr="004B4820" w:rsidRDefault="000C491A" w:rsidP="00623CF4">
      <w:pPr>
        <w:tabs>
          <w:tab w:val="left" w:pos="425"/>
        </w:tabs>
        <w:spacing w:line="360" w:lineRule="auto"/>
        <w:jc w:val="both"/>
        <w:rPr>
          <w:rFonts w:ascii="Times New Roman" w:eastAsia="Trebuchet MS" w:hAnsi="Times New Roman" w:cs="Times New Roman"/>
          <w:color w:val="auto"/>
          <w:lang w:eastAsia="en-US"/>
        </w:rPr>
      </w:pPr>
    </w:p>
    <w:p w:rsidR="000C491A" w:rsidRPr="004B4820" w:rsidRDefault="000C491A" w:rsidP="00623CF4">
      <w:pPr>
        <w:keepNext/>
        <w:keepLines/>
        <w:spacing w:line="360" w:lineRule="auto"/>
        <w:jc w:val="both"/>
        <w:outlineLvl w:val="2"/>
        <w:rPr>
          <w:rFonts w:ascii="Times New Roman" w:eastAsia="Trebuchet MS" w:hAnsi="Times New Roman" w:cs="Times New Roman"/>
          <w:b/>
          <w:bCs/>
          <w:color w:val="auto"/>
          <w:lang w:eastAsia="en-US"/>
        </w:rPr>
      </w:pPr>
      <w:bookmarkStart w:id="16" w:name="bookmark38"/>
      <w:r w:rsidRPr="004B4820">
        <w:rPr>
          <w:rFonts w:ascii="Times New Roman" w:eastAsia="Trebuchet MS" w:hAnsi="Times New Roman" w:cs="Times New Roman"/>
          <w:b/>
          <w:color w:val="auto"/>
          <w:lang w:eastAsia="en-US"/>
        </w:rPr>
        <w:t>Anexa nr. 2.1</w:t>
      </w:r>
      <w:bookmarkEnd w:id="16"/>
    </w:p>
    <w:p w:rsidR="000C491A" w:rsidRPr="004B4820" w:rsidRDefault="000C491A"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CERERE</w:t>
      </w:r>
    </w:p>
    <w:p w:rsidR="000C491A" w:rsidRPr="004B4820" w:rsidRDefault="000C491A" w:rsidP="00623CF4">
      <w:pPr>
        <w:tabs>
          <w:tab w:val="left" w:leader="dot" w:pos="3931"/>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 înscriere în Registrul prestatorilor de servicii de înc</w:t>
      </w:r>
      <w:r w:rsidR="00623CF4" w:rsidRPr="004B4820">
        <w:rPr>
          <w:rFonts w:ascii="Times New Roman" w:eastAsia="Trebuchet MS" w:hAnsi="Times New Roman" w:cs="Times New Roman"/>
          <w:color w:val="auto"/>
          <w:lang w:eastAsia="en-US"/>
        </w:rPr>
        <w:t>redere necalificate</w:t>
      </w:r>
      <w:r w:rsidR="00623CF4" w:rsidRPr="004B4820">
        <w:rPr>
          <w:rFonts w:ascii="Times New Roman" w:eastAsia="Trebuchet MS" w:hAnsi="Times New Roman" w:cs="Times New Roman"/>
          <w:color w:val="auto"/>
          <w:lang w:eastAsia="en-US"/>
        </w:rPr>
        <w:tab/>
        <w:t xml:space="preserve"> (denumirea </w:t>
      </w:r>
      <w:r w:rsidRPr="004B4820">
        <w:rPr>
          <w:rFonts w:ascii="Times New Roman" w:eastAsia="Trebuchet MS" w:hAnsi="Times New Roman" w:cs="Times New Roman"/>
          <w:color w:val="auto"/>
          <w:lang w:eastAsia="en-US"/>
        </w:rPr>
        <w:t>prestatorului de servicii de încredere),</w:t>
      </w:r>
    </w:p>
    <w:p w:rsidR="000C491A" w:rsidRPr="004B4820" w:rsidRDefault="000C491A" w:rsidP="00623CF4">
      <w:pPr>
        <w:tabs>
          <w:tab w:val="right" w:leader="dot" w:pos="5808"/>
          <w:tab w:val="left" w:pos="604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având sediul în </w:t>
      </w:r>
      <w:r w:rsidRPr="004B4820">
        <w:rPr>
          <w:rFonts w:ascii="Times New Roman" w:eastAsia="Trebuchet MS" w:hAnsi="Times New Roman" w:cs="Times New Roman"/>
          <w:color w:val="auto"/>
          <w:lang w:eastAsia="en-US"/>
        </w:rPr>
        <w:tab/>
        <w:t xml:space="preserve"> (adresa</w:t>
      </w:r>
      <w:r w:rsidRPr="004B4820">
        <w:rPr>
          <w:rFonts w:ascii="Times New Roman" w:eastAsia="Trebuchet MS" w:hAnsi="Times New Roman" w:cs="Times New Roman"/>
          <w:color w:val="auto"/>
          <w:lang w:eastAsia="en-US"/>
        </w:rPr>
        <w:tab/>
        <w:t>completă, inclusiv telefon),</w:t>
      </w:r>
    </w:p>
    <w:p w:rsidR="000C491A" w:rsidRPr="004B4820" w:rsidRDefault="000C491A" w:rsidP="00623CF4">
      <w:pPr>
        <w:tabs>
          <w:tab w:val="right" w:leader="dot" w:pos="906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înmatriculat(ă)/înregistrat(ă) la oficiul registrului comerțului cu nr</w:t>
      </w:r>
      <w:r w:rsidRPr="004B4820">
        <w:rPr>
          <w:rFonts w:ascii="Times New Roman" w:eastAsia="Trebuchet MS" w:hAnsi="Times New Roman" w:cs="Times New Roman"/>
          <w:color w:val="auto"/>
          <w:lang w:eastAsia="en-US"/>
        </w:rPr>
        <w:tab/>
        <w:t>(numărul</w:t>
      </w:r>
    </w:p>
    <w:p w:rsidR="000C491A" w:rsidRPr="004B4820" w:rsidRDefault="000C491A" w:rsidP="00623CF4">
      <w:pPr>
        <w:tabs>
          <w:tab w:val="left" w:leader="dot" w:pos="649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 înregistrare/codul unic de înregistrare),cod fiscal</w:t>
      </w:r>
      <w:r w:rsidRPr="004B4820">
        <w:rPr>
          <w:rFonts w:ascii="Times New Roman" w:eastAsia="Trebuchet MS" w:hAnsi="Times New Roman" w:cs="Times New Roman"/>
          <w:color w:val="auto"/>
          <w:lang w:eastAsia="en-US"/>
        </w:rPr>
        <w:tab/>
        <w:t>, reprezentat(ă) legal prin</w:t>
      </w:r>
    </w:p>
    <w:p w:rsidR="000C491A" w:rsidRPr="004B4820" w:rsidRDefault="000C491A" w:rsidP="00623CF4">
      <w:pPr>
        <w:tabs>
          <w:tab w:val="left" w:leader="dot" w:pos="1406"/>
          <w:tab w:val="left" w:leader="dot" w:pos="8112"/>
          <w:tab w:val="right" w:leader="dot" w:pos="9062"/>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ab/>
        <w:t xml:space="preserve"> (numele și prenumele), domiciliat(ă) în </w:t>
      </w:r>
      <w:r w:rsidRPr="004B4820">
        <w:rPr>
          <w:rFonts w:ascii="Times New Roman" w:eastAsia="Trebuchet MS" w:hAnsi="Times New Roman" w:cs="Times New Roman"/>
          <w:color w:val="auto"/>
          <w:lang w:eastAsia="en-US"/>
        </w:rPr>
        <w:tab/>
        <w:t xml:space="preserve"> (adresa completă, inclusiv telefon),identificat(ă) prin</w:t>
      </w:r>
      <w:r w:rsidRPr="004B4820">
        <w:rPr>
          <w:rFonts w:ascii="Times New Roman" w:eastAsia="Trebuchet MS" w:hAnsi="Times New Roman" w:cs="Times New Roman"/>
          <w:color w:val="auto"/>
          <w:lang w:eastAsia="en-US"/>
        </w:rPr>
        <w:tab/>
        <w:t>(actul de</w:t>
      </w:r>
    </w:p>
    <w:p w:rsidR="000C491A" w:rsidRPr="004B4820" w:rsidRDefault="000C491A" w:rsidP="00623CF4">
      <w:pPr>
        <w:tabs>
          <w:tab w:val="left" w:leader="dot" w:pos="7382"/>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 xml:space="preserve">identitate: seria, numărul și emitentul, precum și codul numeric personal),în conformitate cu prevederile Hotărârii Guvernului 89/2020 privind organizarea și funcționarea Autorității pentru Digitalizarea României, cu modificările și completările ulterioare și prevederile Legii nr. 214/2024 privind utilizarea semnăturii electronice, a mărcii temporale și prestarea serviciilor de încredere bazate pe acestea, vă solicităm înregistrarea în Registrul prestatorilor de servicii de încredere necalificate pentru serviciul de încredere </w:t>
      </w:r>
      <w:r w:rsidRPr="004B4820">
        <w:rPr>
          <w:rFonts w:ascii="Times New Roman" w:eastAsia="Trebuchet MS" w:hAnsi="Times New Roman" w:cs="Times New Roman"/>
          <w:color w:val="auto"/>
          <w:lang w:eastAsia="en-US"/>
        </w:rPr>
        <w:tab/>
        <w:t xml:space="preserve"> cu următoarele</w:t>
      </w:r>
    </w:p>
    <w:p w:rsidR="000C491A" w:rsidRPr="004B4820" w:rsidRDefault="000C491A" w:rsidP="00623CF4">
      <w:pPr>
        <w:tabs>
          <w:tab w:val="left" w:pos="4416"/>
          <w:tab w:val="left" w:pos="8405"/>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caracteristici</w:t>
      </w:r>
      <w:r w:rsidRPr="004B4820">
        <w:rPr>
          <w:rFonts w:ascii="Times New Roman" w:eastAsia="Trebuchet MS" w:hAnsi="Times New Roman" w:cs="Times New Roman"/>
          <w:color w:val="auto"/>
          <w:lang w:eastAsia="en-US"/>
        </w:rPr>
        <w:tab/>
        <w:t>generale</w:t>
      </w:r>
      <w:r w:rsidRPr="004B4820">
        <w:rPr>
          <w:rFonts w:ascii="Times New Roman" w:eastAsia="Trebuchet MS" w:hAnsi="Times New Roman" w:cs="Times New Roman"/>
          <w:color w:val="auto"/>
          <w:lang w:eastAsia="en-US"/>
        </w:rPr>
        <w:tab/>
        <w:t>(scurtă</w:t>
      </w:r>
    </w:p>
    <w:p w:rsidR="000C491A" w:rsidRPr="004B4820" w:rsidRDefault="000C491A" w:rsidP="00623CF4">
      <w:pPr>
        <w:tabs>
          <w:tab w:val="left" w:leader="dot" w:pos="9000"/>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descriere):</w:t>
      </w:r>
      <w:r w:rsidRPr="004B4820">
        <w:rPr>
          <w:rFonts w:ascii="Times New Roman" w:eastAsia="Trebuchet MS" w:hAnsi="Times New Roman" w:cs="Times New Roman"/>
          <w:color w:val="auto"/>
          <w:lang w:eastAsia="en-US"/>
        </w:rPr>
        <w:tab/>
      </w:r>
    </w:p>
    <w:p w:rsidR="000C491A" w:rsidRPr="004B4820" w:rsidRDefault="000C491A" w:rsidP="00623CF4">
      <w:pPr>
        <w:tabs>
          <w:tab w:val="left" w:leader="dot" w:pos="6494"/>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Sistemul funcționează (va funcționa) la sediul din</w:t>
      </w:r>
      <w:r w:rsidRPr="004B4820">
        <w:rPr>
          <w:rFonts w:ascii="Times New Roman" w:eastAsia="Trebuchet MS" w:hAnsi="Times New Roman" w:cs="Times New Roman"/>
          <w:color w:val="auto"/>
          <w:lang w:eastAsia="en-US"/>
        </w:rPr>
        <w:tab/>
      </w:r>
    </w:p>
    <w:p w:rsidR="000C491A" w:rsidRPr="004B4820" w:rsidRDefault="000C491A" w:rsidP="00623CF4">
      <w:pPr>
        <w:tabs>
          <w:tab w:val="left" w:leader="dot" w:pos="5098"/>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Numele și prenumele solicitantului</w:t>
      </w:r>
      <w:r w:rsidRPr="004B4820">
        <w:rPr>
          <w:rFonts w:ascii="Times New Roman" w:eastAsia="Trebuchet MS" w:hAnsi="Times New Roman" w:cs="Times New Roman"/>
          <w:color w:val="auto"/>
          <w:lang w:eastAsia="en-US"/>
        </w:rPr>
        <w:tab/>
      </w:r>
    </w:p>
    <w:p w:rsidR="000C491A" w:rsidRPr="004B4820" w:rsidRDefault="000C491A" w:rsidP="00623CF4">
      <w:pPr>
        <w:tabs>
          <w:tab w:val="left" w:leader="dot" w:pos="1406"/>
        </w:tabs>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Data</w:t>
      </w:r>
      <w:r w:rsidRPr="004B4820">
        <w:rPr>
          <w:rFonts w:ascii="Times New Roman" w:eastAsia="Trebuchet MS" w:hAnsi="Times New Roman" w:cs="Times New Roman"/>
          <w:color w:val="auto"/>
          <w:lang w:eastAsia="en-US"/>
        </w:rPr>
        <w:tab/>
      </w:r>
    </w:p>
    <w:p w:rsidR="000C491A" w:rsidRPr="004B4820" w:rsidRDefault="000C491A" w:rsidP="00623CF4">
      <w:pPr>
        <w:spacing w:line="360" w:lineRule="auto"/>
        <w:jc w:val="both"/>
        <w:rPr>
          <w:rFonts w:ascii="Times New Roman" w:eastAsia="Trebuchet MS" w:hAnsi="Times New Roman" w:cs="Times New Roman"/>
          <w:color w:val="auto"/>
          <w:lang w:eastAsia="en-US"/>
        </w:rPr>
      </w:pPr>
      <w:r w:rsidRPr="004B4820">
        <w:rPr>
          <w:rFonts w:ascii="Times New Roman" w:eastAsia="Trebuchet MS" w:hAnsi="Times New Roman" w:cs="Times New Roman"/>
          <w:color w:val="auto"/>
          <w:lang w:eastAsia="en-US"/>
        </w:rPr>
        <w:t>Semnătura solicitantului</w:t>
      </w:r>
    </w:p>
    <w:p w:rsidR="000E2F60" w:rsidRPr="004B4820" w:rsidRDefault="000E2F60" w:rsidP="00623CF4">
      <w:pPr>
        <w:spacing w:line="360" w:lineRule="auto"/>
        <w:jc w:val="both"/>
        <w:rPr>
          <w:rFonts w:ascii="Times New Roman" w:eastAsia="Trebuchet MS" w:hAnsi="Times New Roman" w:cs="Times New Roman"/>
          <w:color w:val="auto"/>
          <w:lang w:eastAsia="en-US"/>
        </w:rPr>
      </w:pPr>
    </w:p>
    <w:p w:rsidR="000E2F60" w:rsidRPr="004B4820" w:rsidRDefault="000E2F60" w:rsidP="00623CF4">
      <w:pPr>
        <w:spacing w:line="360" w:lineRule="auto"/>
        <w:jc w:val="both"/>
        <w:rPr>
          <w:rFonts w:ascii="Times New Roman" w:eastAsia="Trebuchet MS" w:hAnsi="Times New Roman" w:cs="Times New Roman"/>
          <w:color w:val="auto"/>
          <w:lang w:eastAsia="en-US"/>
        </w:rPr>
      </w:pPr>
    </w:p>
    <w:p w:rsidR="00623CF4" w:rsidRPr="004B4820" w:rsidRDefault="00623CF4" w:rsidP="00623CF4">
      <w:pPr>
        <w:spacing w:line="360" w:lineRule="auto"/>
        <w:jc w:val="both"/>
        <w:rPr>
          <w:rFonts w:ascii="Times New Roman" w:eastAsia="Trebuchet MS" w:hAnsi="Times New Roman" w:cs="Times New Roman"/>
          <w:color w:val="auto"/>
          <w:lang w:eastAsia="en-US"/>
        </w:rPr>
      </w:pPr>
    </w:p>
    <w:p w:rsidR="00623CF4" w:rsidRPr="004B4820" w:rsidRDefault="00623CF4" w:rsidP="00623CF4">
      <w:pPr>
        <w:spacing w:line="360" w:lineRule="auto"/>
        <w:jc w:val="both"/>
        <w:rPr>
          <w:rFonts w:ascii="Times New Roman" w:eastAsia="Trebuchet MS" w:hAnsi="Times New Roman" w:cs="Times New Roman"/>
          <w:color w:val="auto"/>
          <w:lang w:eastAsia="en-US"/>
        </w:rPr>
      </w:pPr>
    </w:p>
    <w:p w:rsidR="00623CF4" w:rsidRPr="004B4820" w:rsidRDefault="00623CF4" w:rsidP="00623CF4">
      <w:pPr>
        <w:spacing w:line="360" w:lineRule="auto"/>
        <w:jc w:val="both"/>
        <w:rPr>
          <w:rFonts w:ascii="Times New Roman" w:eastAsia="Trebuchet MS" w:hAnsi="Times New Roman" w:cs="Times New Roman"/>
          <w:color w:val="auto"/>
          <w:lang w:eastAsia="en-US"/>
        </w:rPr>
      </w:pPr>
    </w:p>
    <w:p w:rsidR="00623CF4" w:rsidRPr="004B4820" w:rsidRDefault="00623CF4" w:rsidP="00623CF4">
      <w:pPr>
        <w:spacing w:line="360" w:lineRule="auto"/>
        <w:jc w:val="both"/>
        <w:rPr>
          <w:rFonts w:ascii="Times New Roman" w:eastAsia="Trebuchet MS" w:hAnsi="Times New Roman" w:cs="Times New Roman"/>
          <w:color w:val="auto"/>
          <w:lang w:eastAsia="en-US"/>
        </w:rPr>
      </w:pPr>
    </w:p>
    <w:p w:rsidR="000E2F60" w:rsidRPr="004B4820" w:rsidRDefault="000E2F60" w:rsidP="00623CF4">
      <w:pPr>
        <w:pStyle w:val="BodyText"/>
        <w:spacing w:line="360" w:lineRule="auto"/>
        <w:jc w:val="both"/>
        <w:rPr>
          <w:rStyle w:val="BodyTextChar"/>
          <w:rFonts w:ascii="Times New Roman" w:hAnsi="Times New Roman" w:cs="Times New Roman"/>
          <w:b/>
          <w:bCs/>
          <w:color w:val="auto"/>
          <w:sz w:val="24"/>
          <w:szCs w:val="24"/>
        </w:rPr>
      </w:pPr>
      <w:r w:rsidRPr="004B4820">
        <w:rPr>
          <w:rStyle w:val="BodyTextChar"/>
          <w:rFonts w:ascii="Times New Roman" w:hAnsi="Times New Roman" w:cs="Times New Roman"/>
          <w:b/>
          <w:bCs/>
          <w:color w:val="auto"/>
          <w:sz w:val="24"/>
          <w:szCs w:val="24"/>
        </w:rPr>
        <w:lastRenderedPageBreak/>
        <w:t>Anexa nr. 3</w:t>
      </w:r>
    </w:p>
    <w:p w:rsidR="00623CF4" w:rsidRPr="004B4820" w:rsidRDefault="00623CF4" w:rsidP="00623CF4">
      <w:pPr>
        <w:pStyle w:val="BodyText"/>
        <w:spacing w:line="360" w:lineRule="auto"/>
        <w:jc w:val="both"/>
        <w:rPr>
          <w:rFonts w:ascii="Times New Roman" w:hAnsi="Times New Roman" w:cs="Times New Roman"/>
          <w:color w:val="auto"/>
          <w:sz w:val="24"/>
          <w:szCs w:val="24"/>
        </w:rPr>
      </w:pPr>
    </w:p>
    <w:p w:rsidR="000E2F60" w:rsidRPr="004B4820" w:rsidRDefault="000E2F60" w:rsidP="00623CF4">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PROCEDURA de înregistrare a prestatorilor de servicii de încredere necalificate din domeniul apărării, ordinii publice și siguranței naționale în Registrul prestatorilor de servicii de încredere necalificate</w:t>
      </w:r>
    </w:p>
    <w:p w:rsidR="000E2F60" w:rsidRPr="004B4820" w:rsidRDefault="000E2F60" w:rsidP="00623CF4">
      <w:pPr>
        <w:pStyle w:val="Heading30"/>
        <w:keepNext/>
        <w:keepLines/>
        <w:spacing w:line="360" w:lineRule="auto"/>
        <w:jc w:val="both"/>
        <w:rPr>
          <w:rFonts w:ascii="Times New Roman" w:hAnsi="Times New Roman" w:cs="Times New Roman"/>
          <w:b w:val="0"/>
          <w:sz w:val="24"/>
          <w:szCs w:val="24"/>
        </w:rPr>
      </w:pPr>
      <w:bookmarkStart w:id="17" w:name="bookmark40"/>
      <w:r w:rsidRPr="004B4820">
        <w:rPr>
          <w:rStyle w:val="Heading3"/>
          <w:rFonts w:ascii="Times New Roman" w:hAnsi="Times New Roman" w:cs="Times New Roman"/>
          <w:b/>
          <w:sz w:val="24"/>
          <w:szCs w:val="24"/>
        </w:rPr>
        <w:t>Art. 1</w:t>
      </w:r>
      <w:bookmarkEnd w:id="17"/>
    </w:p>
    <w:p w:rsidR="000E2F60" w:rsidRPr="004B4820" w:rsidRDefault="000E2F60" w:rsidP="00623CF4">
      <w:pPr>
        <w:pStyle w:val="BodyText"/>
        <w:numPr>
          <w:ilvl w:val="0"/>
          <w:numId w:val="28"/>
        </w:numPr>
        <w:tabs>
          <w:tab w:val="left" w:pos="418"/>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 xml:space="preserve">Persoanele juridice din domeniul apărării, ordinii publice și siguranței naționale care intenționează să presteze servicii de încredere necalificate, inclusiv cele care intenționează să presteze servicii de încredere în cadrul sistemelor închise, transmit către ADR, cu 30 de zile înainte de începerea activității, o cerere și documentația necesară, în vederea înregistrării în Registrul prestatorilor de servicii de încredere necalificați prevăzut la art. 21 din Legea nr. 214/2024 </w:t>
      </w:r>
      <w:bookmarkStart w:id="18" w:name="_Hlk190786279"/>
      <w:r w:rsidRPr="004B4820">
        <w:rPr>
          <w:rStyle w:val="BodyTextChar"/>
          <w:rFonts w:ascii="Times New Roman" w:hAnsi="Times New Roman" w:cs="Times New Roman"/>
          <w:color w:val="auto"/>
          <w:sz w:val="24"/>
          <w:szCs w:val="24"/>
        </w:rPr>
        <w:t>privind utilizarea semnăturii electronice, a mărcii temporale și prestarea serviciilor de încredere bazate pe acestea</w:t>
      </w:r>
      <w:bookmarkEnd w:id="18"/>
      <w:r w:rsidRPr="004B4820">
        <w:rPr>
          <w:rStyle w:val="BodyTextChar"/>
          <w:rFonts w:ascii="Times New Roman" w:hAnsi="Times New Roman" w:cs="Times New Roman"/>
          <w:color w:val="auto"/>
          <w:sz w:val="24"/>
          <w:szCs w:val="24"/>
        </w:rPr>
        <w:t>.</w:t>
      </w:r>
    </w:p>
    <w:p w:rsidR="000E2F60" w:rsidRPr="004B4820" w:rsidRDefault="000E2F60" w:rsidP="00623CF4">
      <w:pPr>
        <w:pStyle w:val="BodyText"/>
        <w:numPr>
          <w:ilvl w:val="0"/>
          <w:numId w:val="28"/>
        </w:numPr>
        <w:tabs>
          <w:tab w:val="left" w:pos="418"/>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Cererea (conform modelului prevăzut în anexa 3.1) trebuie să fie însoțită de următoarele documente:</w:t>
      </w:r>
    </w:p>
    <w:p w:rsidR="000E2F60" w:rsidRPr="004B4820" w:rsidRDefault="000E2F60" w:rsidP="00623CF4">
      <w:pPr>
        <w:pStyle w:val="BodyText"/>
        <w:numPr>
          <w:ilvl w:val="0"/>
          <w:numId w:val="29"/>
        </w:numPr>
        <w:tabs>
          <w:tab w:val="left" w:pos="322"/>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Declarație pe proprie răspundere a reprezentantului legal al instituției din cadrul</w:t>
      </w:r>
      <w:r w:rsidRPr="004B4820">
        <w:rPr>
          <w:rFonts w:ascii="Times New Roman" w:hAnsi="Times New Roman" w:cs="Times New Roman"/>
          <w:b/>
          <w:bCs/>
          <w:color w:val="auto"/>
          <w:sz w:val="24"/>
          <w:szCs w:val="24"/>
          <w:lang w:eastAsia="ro-RO"/>
        </w:rPr>
        <w:t xml:space="preserve"> </w:t>
      </w:r>
      <w:r w:rsidRPr="004B4820">
        <w:rPr>
          <w:rFonts w:ascii="Times New Roman" w:hAnsi="Times New Roman" w:cs="Times New Roman"/>
          <w:color w:val="auto"/>
          <w:sz w:val="24"/>
          <w:szCs w:val="24"/>
        </w:rPr>
        <w:t>domeniul apărării, ordinii publice și siguranței naționale</w:t>
      </w:r>
      <w:r w:rsidRPr="004B4820">
        <w:rPr>
          <w:rStyle w:val="BodyTextChar"/>
          <w:rFonts w:ascii="Times New Roman" w:hAnsi="Times New Roman" w:cs="Times New Roman"/>
          <w:color w:val="auto"/>
          <w:sz w:val="24"/>
          <w:szCs w:val="24"/>
        </w:rPr>
        <w:t xml:space="preserve"> prin care confirmă că există un raport de audit, nu mai vechi de 90 de zile, emis de o structură specializată din cadrul instituției cu respectarea principiilor de auditare Auditul intern se desfășoară în conformitate cu standardele tehnice specifice prestării serviciilor de încredere și a celor de securitate aferente;</w:t>
      </w:r>
    </w:p>
    <w:p w:rsidR="000E2F60" w:rsidRPr="004B4820" w:rsidRDefault="000E2F60" w:rsidP="00623CF4">
      <w:pPr>
        <w:pStyle w:val="BodyText"/>
        <w:numPr>
          <w:ilvl w:val="0"/>
          <w:numId w:val="29"/>
        </w:numPr>
        <w:tabs>
          <w:tab w:val="left" w:pos="322"/>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declarația pe propria răspundere a reprezentantului legal al prestatorului cu privire la existența unui plan de securitate al sistemului informatic utilizat, avizată de către autoritatea națională competentă în domeniul securității și apărării cibernetice, conform Legii 58/2023 privind securitatea și apărarea cibernetică a României, precum și pentru modificarea și completarea unor acte normative, aflată în sfera de responsabilitate;</w:t>
      </w:r>
    </w:p>
    <w:p w:rsidR="000E2F60" w:rsidRPr="004B4820" w:rsidRDefault="000E2F60" w:rsidP="00623CF4">
      <w:pPr>
        <w:pStyle w:val="BodyText"/>
        <w:numPr>
          <w:ilvl w:val="0"/>
          <w:numId w:val="29"/>
        </w:numPr>
        <w:tabs>
          <w:tab w:val="left" w:pos="327"/>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termenii și condițiile pe care prestatorul de servicii de încredere se angajează să le respecte cu utilizatorul final;</w:t>
      </w:r>
    </w:p>
    <w:p w:rsidR="000E2F60" w:rsidRPr="004B4820" w:rsidRDefault="000E2F60" w:rsidP="00623CF4">
      <w:pPr>
        <w:pStyle w:val="BodyText"/>
        <w:numPr>
          <w:ilvl w:val="0"/>
          <w:numId w:val="29"/>
        </w:numPr>
        <w:tabs>
          <w:tab w:val="left" w:pos="313"/>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lista standardelor în baza cărora operațiile sunt efectuate, auditate, evaluate sau certificate, conform actelor de punere în aplicare adoptate în temeiul art. 19a alin. 2 din Regulamentul (UE) nr. 910/2014;</w:t>
      </w:r>
    </w:p>
    <w:p w:rsidR="000E2F60" w:rsidRPr="004B4820" w:rsidRDefault="000E2F60" w:rsidP="00623CF4">
      <w:pPr>
        <w:pStyle w:val="BodyText"/>
        <w:numPr>
          <w:ilvl w:val="0"/>
          <w:numId w:val="29"/>
        </w:numPr>
        <w:tabs>
          <w:tab w:val="left" w:pos="328"/>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adresa WEB a prestatorului;</w:t>
      </w:r>
    </w:p>
    <w:p w:rsidR="000E2F60" w:rsidRPr="004B4820" w:rsidRDefault="000E2F60" w:rsidP="00623CF4">
      <w:pPr>
        <w:pStyle w:val="BodyText"/>
        <w:numPr>
          <w:ilvl w:val="0"/>
          <w:numId w:val="29"/>
        </w:numPr>
        <w:tabs>
          <w:tab w:val="left" w:pos="347"/>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lastRenderedPageBreak/>
        <w:t xml:space="preserve">declarație pe proprie răspundere a reprezentantului legal din care sa rezulte efectuarea testelor de penetrare, perioada de efectuare a testelor precum și faptul că au fost adresate </w:t>
      </w:r>
      <w:proofErr w:type="spellStart"/>
      <w:r w:rsidRPr="004B4820">
        <w:rPr>
          <w:rStyle w:val="BodyTextChar"/>
          <w:rFonts w:ascii="Times New Roman" w:hAnsi="Times New Roman" w:cs="Times New Roman"/>
          <w:color w:val="auto"/>
          <w:sz w:val="24"/>
          <w:szCs w:val="24"/>
        </w:rPr>
        <w:t>gap</w:t>
      </w:r>
      <w:proofErr w:type="spellEnd"/>
      <w:r w:rsidRPr="004B4820">
        <w:rPr>
          <w:rStyle w:val="BodyTextChar"/>
          <w:rFonts w:ascii="Times New Roman" w:hAnsi="Times New Roman" w:cs="Times New Roman"/>
          <w:color w:val="auto"/>
          <w:sz w:val="24"/>
          <w:szCs w:val="24"/>
        </w:rPr>
        <w:t>-urile identificate;</w:t>
      </w:r>
    </w:p>
    <w:p w:rsidR="000E2F60" w:rsidRPr="004B4820" w:rsidRDefault="000E2F60" w:rsidP="00446AE2">
      <w:pPr>
        <w:pStyle w:val="BodyText"/>
        <w:numPr>
          <w:ilvl w:val="0"/>
          <w:numId w:val="29"/>
        </w:numPr>
        <w:tabs>
          <w:tab w:val="left" w:pos="313"/>
        </w:tabs>
        <w:spacing w:line="360" w:lineRule="auto"/>
        <w:jc w:val="both"/>
        <w:rPr>
          <w:rFonts w:ascii="Times New Roman" w:hAnsi="Times New Roman" w:cs="Times New Roman"/>
          <w:strike/>
          <w:color w:val="auto"/>
          <w:sz w:val="24"/>
          <w:szCs w:val="24"/>
        </w:rPr>
      </w:pPr>
      <w:r w:rsidRPr="004B4820">
        <w:rPr>
          <w:rStyle w:val="BodyTextChar"/>
          <w:rFonts w:ascii="Times New Roman" w:hAnsi="Times New Roman" w:cs="Times New Roman"/>
          <w:color w:val="auto"/>
          <w:sz w:val="24"/>
          <w:szCs w:val="24"/>
        </w:rPr>
        <w:t>declarație pe proprie răspundere a reprezentantului legal din care să rezulte că în procesul de emitere a serviciilor de încredere este implicat person</w:t>
      </w:r>
      <w:bookmarkStart w:id="19" w:name="_GoBack"/>
      <w:bookmarkEnd w:id="19"/>
      <w:r w:rsidRPr="004B4820">
        <w:rPr>
          <w:rStyle w:val="BodyTextChar"/>
          <w:rFonts w:ascii="Times New Roman" w:hAnsi="Times New Roman" w:cs="Times New Roman"/>
          <w:color w:val="auto"/>
          <w:sz w:val="24"/>
          <w:szCs w:val="24"/>
        </w:rPr>
        <w:t xml:space="preserve">al cu cunoștințe de specialitate, experiență și calificare, și planul de instruire în conformitate cu prevederile art.12 alin.(2) </w:t>
      </w:r>
      <w:proofErr w:type="spellStart"/>
      <w:r w:rsidRPr="004B4820">
        <w:rPr>
          <w:rStyle w:val="BodyTextChar"/>
          <w:rFonts w:ascii="Times New Roman" w:hAnsi="Times New Roman" w:cs="Times New Roman"/>
          <w:color w:val="auto"/>
          <w:sz w:val="24"/>
          <w:szCs w:val="24"/>
        </w:rPr>
        <w:t>lit.e</w:t>
      </w:r>
      <w:proofErr w:type="spellEnd"/>
      <w:r w:rsidRPr="004B4820">
        <w:rPr>
          <w:rStyle w:val="BodyTextChar"/>
          <w:rFonts w:ascii="Times New Roman" w:hAnsi="Times New Roman" w:cs="Times New Roman"/>
          <w:color w:val="auto"/>
          <w:sz w:val="24"/>
          <w:szCs w:val="24"/>
        </w:rPr>
        <w:t>) din Legea nr.214/</w:t>
      </w:r>
      <w:r w:rsidRPr="00C82CE9">
        <w:rPr>
          <w:rStyle w:val="BodyTextChar"/>
          <w:rFonts w:ascii="Times New Roman" w:hAnsi="Times New Roman" w:cs="Times New Roman"/>
          <w:color w:val="auto"/>
          <w:sz w:val="24"/>
          <w:szCs w:val="24"/>
        </w:rPr>
        <w:t>2024;</w:t>
      </w:r>
    </w:p>
    <w:p w:rsidR="000E2F60" w:rsidRPr="004B4820" w:rsidRDefault="000E2F60" w:rsidP="00446AE2">
      <w:pPr>
        <w:pStyle w:val="BodyText"/>
        <w:numPr>
          <w:ilvl w:val="0"/>
          <w:numId w:val="29"/>
        </w:numPr>
        <w:tabs>
          <w:tab w:val="left" w:pos="323"/>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minim două surse de timp precise, legate de ora universală;</w:t>
      </w:r>
    </w:p>
    <w:p w:rsidR="000E2F60" w:rsidRPr="004B4820" w:rsidRDefault="000E2F60" w:rsidP="00446AE2">
      <w:pPr>
        <w:pStyle w:val="BodyText"/>
        <w:numPr>
          <w:ilvl w:val="0"/>
          <w:numId w:val="29"/>
        </w:numPr>
        <w:tabs>
          <w:tab w:val="left" w:pos="287"/>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termenii si condițiile pe care utilizatorul final se angajează să le respecte.</w:t>
      </w:r>
    </w:p>
    <w:p w:rsidR="000E2F60" w:rsidRPr="004B4820" w:rsidRDefault="000E2F60" w:rsidP="00446AE2">
      <w:pPr>
        <w:pStyle w:val="BodyText"/>
        <w:numPr>
          <w:ilvl w:val="0"/>
          <w:numId w:val="30"/>
        </w:numPr>
        <w:tabs>
          <w:tab w:val="left" w:pos="414"/>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termen de 30 de zile de la primirea notificării transmise de către instituțiile din domeniul apărării, ordinii publice și siguranței naționale, dacă acestea îndeplinesc condițiile legale pentru prestarea serviciilor de încredere, ADR înregistrează prestatorul de servicii de încredere necalificate în Registrul prestatorilor de servicii de încredere calificate și necalificate prevăzut la art. 21 din Legea nr. 214/2024</w:t>
      </w:r>
      <w:r w:rsidRPr="004B4820">
        <w:rPr>
          <w:rFonts w:ascii="Times New Roman" w:hAnsi="Times New Roman" w:cs="Times New Roman"/>
          <w:color w:val="auto"/>
          <w:sz w:val="24"/>
          <w:szCs w:val="24"/>
        </w:rPr>
        <w:t xml:space="preserve"> </w:t>
      </w:r>
      <w:r w:rsidRPr="004B4820">
        <w:rPr>
          <w:rStyle w:val="BodyTextChar"/>
          <w:rFonts w:ascii="Times New Roman" w:hAnsi="Times New Roman" w:cs="Times New Roman"/>
          <w:color w:val="auto"/>
          <w:sz w:val="24"/>
          <w:szCs w:val="24"/>
        </w:rPr>
        <w:t>privind utilizarea semnăturii electronice, a mărcii temporale și prestarea serviciilor de încredere bazate pe acestea.</w:t>
      </w:r>
    </w:p>
    <w:p w:rsidR="000E2F60" w:rsidRPr="004B4820" w:rsidRDefault="000E2F60" w:rsidP="00446AE2">
      <w:pPr>
        <w:pStyle w:val="BodyText"/>
        <w:numPr>
          <w:ilvl w:val="0"/>
          <w:numId w:val="30"/>
        </w:numPr>
        <w:tabs>
          <w:tab w:val="left" w:pos="419"/>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Prestatorii de servicii de încredere care emit certificate pentru semnătură electronică avansată sunt obligați să utilizeze în procesul de identificare a solicitantului certificatului mijloace de identificare reglementate și recunoscute la nivel național.</w:t>
      </w:r>
    </w:p>
    <w:p w:rsidR="000E2F60" w:rsidRPr="004B4820" w:rsidRDefault="000E2F60" w:rsidP="00446AE2">
      <w:pPr>
        <w:pStyle w:val="BodyText"/>
        <w:spacing w:line="360" w:lineRule="auto"/>
        <w:jc w:val="both"/>
        <w:rPr>
          <w:rFonts w:ascii="Times New Roman" w:hAnsi="Times New Roman" w:cs="Times New Roman"/>
          <w:b/>
          <w:color w:val="auto"/>
          <w:sz w:val="24"/>
          <w:szCs w:val="24"/>
        </w:rPr>
      </w:pPr>
      <w:r w:rsidRPr="004B4820">
        <w:rPr>
          <w:rStyle w:val="BodyTextChar"/>
          <w:rFonts w:ascii="Times New Roman" w:hAnsi="Times New Roman" w:cs="Times New Roman"/>
          <w:b/>
          <w:color w:val="auto"/>
          <w:sz w:val="24"/>
          <w:szCs w:val="24"/>
        </w:rPr>
        <w:t>Art. 3</w:t>
      </w:r>
    </w:p>
    <w:p w:rsidR="000E2F60" w:rsidRPr="004B4820" w:rsidRDefault="000E2F60" w:rsidP="00446AE2">
      <w:pPr>
        <w:pStyle w:val="BodyText"/>
        <w:spacing w:line="360" w:lineRule="auto"/>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Prestatorii de servicii de încredere informează organismul de supraveghere cu cel puțin o lună înainte de începerea activității de audit și, la cerere, îi permit organismului de supraveghere să participe în calitate de observator.</w:t>
      </w:r>
    </w:p>
    <w:p w:rsidR="00623CF4" w:rsidRPr="004B4820" w:rsidRDefault="00623CF4" w:rsidP="00446AE2">
      <w:pPr>
        <w:pStyle w:val="BodyText"/>
        <w:spacing w:line="360" w:lineRule="auto"/>
        <w:jc w:val="both"/>
        <w:rPr>
          <w:rStyle w:val="BodyTextChar"/>
          <w:rFonts w:ascii="Times New Roman" w:hAnsi="Times New Roman" w:cs="Times New Roman"/>
          <w:color w:val="auto"/>
          <w:sz w:val="24"/>
          <w:szCs w:val="24"/>
        </w:rPr>
      </w:pPr>
    </w:p>
    <w:p w:rsidR="000E2F60" w:rsidRPr="004B4820" w:rsidRDefault="000E2F60" w:rsidP="00446AE2">
      <w:pPr>
        <w:pStyle w:val="BodyText"/>
        <w:spacing w:line="360" w:lineRule="auto"/>
        <w:jc w:val="both"/>
        <w:rPr>
          <w:rFonts w:ascii="Times New Roman" w:hAnsi="Times New Roman" w:cs="Times New Roman"/>
          <w:b/>
          <w:color w:val="auto"/>
          <w:sz w:val="24"/>
          <w:szCs w:val="24"/>
        </w:rPr>
      </w:pPr>
      <w:r w:rsidRPr="004B4820">
        <w:rPr>
          <w:rStyle w:val="BodyTextChar"/>
          <w:rFonts w:ascii="Times New Roman" w:hAnsi="Times New Roman" w:cs="Times New Roman"/>
          <w:b/>
          <w:color w:val="auto"/>
          <w:sz w:val="24"/>
          <w:szCs w:val="24"/>
        </w:rPr>
        <w:t>Art. 4</w:t>
      </w:r>
    </w:p>
    <w:p w:rsidR="000E2F60" w:rsidRPr="004B4820" w:rsidRDefault="000E2F60"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Prestatorul de servicii de încredere are obligația ca, în cazul modificării unor informații și/sau documente prevăzute la art. 2, alin. (2), să notifice ADR și să depună originalul sau copia documentelor modificate în termen de maximum 60 de zile de la data efectuării modificării.</w:t>
      </w:r>
    </w:p>
    <w:p w:rsidR="000E2F60" w:rsidRPr="004B4820" w:rsidRDefault="000E2F60" w:rsidP="00446AE2">
      <w:pPr>
        <w:pStyle w:val="Heading30"/>
        <w:keepNext/>
        <w:keepLines/>
        <w:spacing w:line="360" w:lineRule="auto"/>
        <w:jc w:val="both"/>
        <w:rPr>
          <w:rFonts w:ascii="Times New Roman" w:hAnsi="Times New Roman" w:cs="Times New Roman"/>
          <w:b w:val="0"/>
          <w:sz w:val="24"/>
          <w:szCs w:val="24"/>
        </w:rPr>
      </w:pPr>
      <w:bookmarkStart w:id="20" w:name="bookmark42"/>
      <w:r w:rsidRPr="004B4820">
        <w:rPr>
          <w:rStyle w:val="Heading3"/>
          <w:rFonts w:ascii="Times New Roman" w:hAnsi="Times New Roman" w:cs="Times New Roman"/>
          <w:b/>
          <w:sz w:val="24"/>
          <w:szCs w:val="24"/>
        </w:rPr>
        <w:t>Art. 5</w:t>
      </w:r>
      <w:bookmarkEnd w:id="20"/>
    </w:p>
    <w:p w:rsidR="003C3BEE" w:rsidRPr="004B4820" w:rsidRDefault="000E2F60" w:rsidP="00446AE2">
      <w:pPr>
        <w:pStyle w:val="BodyText"/>
        <w:numPr>
          <w:ilvl w:val="0"/>
          <w:numId w:val="31"/>
        </w:numPr>
        <w:tabs>
          <w:tab w:val="left" w:pos="427"/>
        </w:tabs>
        <w:spacing w:line="360" w:lineRule="auto"/>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 xml:space="preserve">Radierea prestatorilor de servicii de încredere necalificate din Registrul prestatorilor de servicii de încredere necalificate se va efectua în oricare dintre următoarele situații: </w:t>
      </w:r>
    </w:p>
    <w:p w:rsidR="000E2F60" w:rsidRPr="004B4820" w:rsidRDefault="000E2F60" w:rsidP="00446AE2">
      <w:pPr>
        <w:pStyle w:val="BodyText"/>
        <w:tabs>
          <w:tab w:val="left" w:pos="427"/>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 la cererea acestora;</w:t>
      </w:r>
    </w:p>
    <w:p w:rsidR="000E2F60" w:rsidRPr="004B4820" w:rsidRDefault="000E2F60" w:rsidP="00446AE2">
      <w:pPr>
        <w:pStyle w:val="BodyText"/>
        <w:numPr>
          <w:ilvl w:val="0"/>
          <w:numId w:val="32"/>
        </w:numPr>
        <w:tabs>
          <w:tab w:val="left" w:pos="345"/>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lastRenderedPageBreak/>
        <w:t>în cazul nerespectării prevederilor prezentei proceduri;</w:t>
      </w:r>
    </w:p>
    <w:p w:rsidR="000E2F60" w:rsidRPr="004B4820" w:rsidRDefault="000E2F60" w:rsidP="00446AE2">
      <w:pPr>
        <w:pStyle w:val="BodyText"/>
        <w:numPr>
          <w:ilvl w:val="0"/>
          <w:numId w:val="32"/>
        </w:numPr>
        <w:tabs>
          <w:tab w:val="left" w:pos="340"/>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la expirarea valabilității documentelor prevăzute la art. 2, alin. (2), lit. b);</w:t>
      </w:r>
    </w:p>
    <w:p w:rsidR="000E2F60" w:rsidRPr="004B4820" w:rsidRDefault="000E2F60" w:rsidP="00446AE2">
      <w:pPr>
        <w:pStyle w:val="BodyText"/>
        <w:numPr>
          <w:ilvl w:val="0"/>
          <w:numId w:val="32"/>
        </w:numPr>
        <w:tabs>
          <w:tab w:val="left" w:pos="350"/>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la nerespectarea termenelor de soluționare a măsurilor dispuse în urma controalelor efectuate de organismul de supraveghere.</w:t>
      </w:r>
    </w:p>
    <w:p w:rsidR="00D368F2" w:rsidRPr="004B4820" w:rsidRDefault="000E2F60" w:rsidP="00446AE2">
      <w:pPr>
        <w:pStyle w:val="BodyText"/>
        <w:numPr>
          <w:ilvl w:val="0"/>
          <w:numId w:val="31"/>
        </w:numPr>
        <w:tabs>
          <w:tab w:val="left" w:pos="422"/>
          <w:tab w:val="left" w:pos="736"/>
        </w:tabs>
        <w:spacing w:line="360" w:lineRule="auto"/>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Organismul de supraveghere desemnat la art. 19, alin. (1) din Legea nr. 214/2024 privind utilizarea semnăturii electronice, a mărcii temporale și prestarea serviciilor de încredere bazate pe acestea informează prestatorul de servicii de încre</w:t>
      </w:r>
      <w:r w:rsidR="003C3BEE" w:rsidRPr="004B4820">
        <w:rPr>
          <w:rStyle w:val="BodyTextChar"/>
          <w:rFonts w:ascii="Times New Roman" w:hAnsi="Times New Roman" w:cs="Times New Roman"/>
          <w:color w:val="auto"/>
          <w:sz w:val="24"/>
          <w:szCs w:val="24"/>
        </w:rPr>
        <w:t>dere cu privire la radierea din registru</w:t>
      </w:r>
      <w:r w:rsidR="001E40B6" w:rsidRPr="004B4820">
        <w:rPr>
          <w:rStyle w:val="BodyTextChar"/>
          <w:rFonts w:ascii="Times New Roman" w:hAnsi="Times New Roman" w:cs="Times New Roman"/>
          <w:color w:val="auto"/>
          <w:sz w:val="24"/>
          <w:szCs w:val="24"/>
        </w:rPr>
        <w:t>.</w:t>
      </w:r>
    </w:p>
    <w:p w:rsidR="001E40B6" w:rsidRPr="004B4820" w:rsidRDefault="001E40B6" w:rsidP="00446AE2">
      <w:pPr>
        <w:pStyle w:val="BodyText"/>
        <w:tabs>
          <w:tab w:val="left" w:pos="422"/>
          <w:tab w:val="left" w:pos="736"/>
        </w:tabs>
        <w:spacing w:line="360" w:lineRule="auto"/>
        <w:jc w:val="both"/>
        <w:rPr>
          <w:rStyle w:val="BodyTextChar"/>
          <w:rFonts w:ascii="Times New Roman" w:hAnsi="Times New Roman" w:cs="Times New Roman"/>
          <w:color w:val="auto"/>
          <w:sz w:val="24"/>
          <w:szCs w:val="24"/>
        </w:rPr>
      </w:pPr>
    </w:p>
    <w:p w:rsidR="001E40B6" w:rsidRPr="004B4820" w:rsidRDefault="001E40B6" w:rsidP="00446AE2">
      <w:pPr>
        <w:pStyle w:val="BodyText"/>
        <w:tabs>
          <w:tab w:val="left" w:pos="422"/>
          <w:tab w:val="left" w:pos="736"/>
        </w:tabs>
        <w:spacing w:line="360" w:lineRule="auto"/>
        <w:jc w:val="both"/>
        <w:rPr>
          <w:rStyle w:val="BodyTextChar"/>
          <w:rFonts w:ascii="Times New Roman" w:hAnsi="Times New Roman" w:cs="Times New Roman"/>
          <w:color w:val="auto"/>
          <w:sz w:val="24"/>
          <w:szCs w:val="24"/>
        </w:rPr>
      </w:pPr>
    </w:p>
    <w:p w:rsidR="001E40B6" w:rsidRPr="004B4820" w:rsidRDefault="001E40B6" w:rsidP="00446AE2">
      <w:pPr>
        <w:pStyle w:val="BodyText"/>
        <w:spacing w:line="360" w:lineRule="auto"/>
        <w:jc w:val="both"/>
        <w:rPr>
          <w:rStyle w:val="BodyTextChar"/>
          <w:rFonts w:ascii="Times New Roman" w:hAnsi="Times New Roman" w:cs="Times New Roman"/>
          <w:b/>
          <w:bCs/>
          <w:color w:val="auto"/>
          <w:sz w:val="24"/>
          <w:szCs w:val="24"/>
        </w:rPr>
      </w:pPr>
      <w:r w:rsidRPr="004B4820">
        <w:rPr>
          <w:rStyle w:val="BodyTextChar"/>
          <w:rFonts w:ascii="Times New Roman" w:hAnsi="Times New Roman" w:cs="Times New Roman"/>
          <w:b/>
          <w:bCs/>
          <w:color w:val="auto"/>
          <w:sz w:val="24"/>
          <w:szCs w:val="24"/>
        </w:rPr>
        <w:t>Anexa nr. 3.1</w:t>
      </w:r>
    </w:p>
    <w:p w:rsidR="00623CF4" w:rsidRPr="004B4820" w:rsidRDefault="00623CF4" w:rsidP="00446AE2">
      <w:pPr>
        <w:pStyle w:val="BodyText"/>
        <w:spacing w:line="360" w:lineRule="auto"/>
        <w:jc w:val="both"/>
        <w:rPr>
          <w:rFonts w:ascii="Times New Roman" w:hAnsi="Times New Roman" w:cs="Times New Roman"/>
          <w:b/>
          <w:color w:val="auto"/>
          <w:sz w:val="24"/>
          <w:szCs w:val="24"/>
        </w:rPr>
      </w:pPr>
    </w:p>
    <w:p w:rsidR="001E40B6" w:rsidRPr="004B4820" w:rsidRDefault="001E40B6" w:rsidP="00446AE2">
      <w:pPr>
        <w:pStyle w:val="BodyText"/>
        <w:spacing w:line="360" w:lineRule="auto"/>
        <w:jc w:val="center"/>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CERERE</w:t>
      </w:r>
    </w:p>
    <w:p w:rsidR="001E40B6" w:rsidRPr="004B4820" w:rsidRDefault="001E40B6" w:rsidP="00446AE2">
      <w:pPr>
        <w:pStyle w:val="BodyText"/>
        <w:tabs>
          <w:tab w:val="left" w:leader="dot" w:pos="3991"/>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de înscriere în Registrul prestatorilor de servirii de încredere necalificate</w:t>
      </w:r>
      <w:r w:rsidRPr="004B4820">
        <w:rPr>
          <w:rStyle w:val="BodyTextChar"/>
          <w:rFonts w:ascii="Times New Roman" w:hAnsi="Times New Roman" w:cs="Times New Roman"/>
          <w:b/>
          <w:bCs/>
          <w:color w:val="auto"/>
          <w:sz w:val="24"/>
          <w:szCs w:val="24"/>
        </w:rPr>
        <w:tab/>
        <w:t>(denumirea prestatorului de servicii de încredere),</w:t>
      </w:r>
    </w:p>
    <w:p w:rsidR="001E40B6" w:rsidRPr="004B4820" w:rsidRDefault="001E40B6" w:rsidP="00446AE2">
      <w:pPr>
        <w:pStyle w:val="BodyText"/>
        <w:tabs>
          <w:tab w:val="left" w:leader="dot" w:pos="4457"/>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având sediul în</w:t>
      </w:r>
      <w:r w:rsidRPr="004B4820">
        <w:rPr>
          <w:rStyle w:val="BodyTextChar"/>
          <w:rFonts w:ascii="Times New Roman" w:hAnsi="Times New Roman" w:cs="Times New Roman"/>
          <w:b/>
          <w:bCs/>
          <w:color w:val="auto"/>
          <w:sz w:val="24"/>
          <w:szCs w:val="24"/>
        </w:rPr>
        <w:tab/>
        <w:t>(adresa completă, inclusiv telefon), cod fiscal</w:t>
      </w:r>
    </w:p>
    <w:p w:rsidR="001E40B6" w:rsidRPr="004B4820" w:rsidRDefault="001E40B6" w:rsidP="00446AE2">
      <w:pPr>
        <w:pStyle w:val="BodyText"/>
        <w:tabs>
          <w:tab w:val="left" w:leader="dot" w:pos="1475"/>
          <w:tab w:val="right" w:leader="dot" w:pos="3773"/>
          <w:tab w:val="right" w:leader="dot" w:pos="6269"/>
          <w:tab w:val="left" w:pos="6472"/>
          <w:tab w:val="left" w:leader="dot" w:pos="6472"/>
          <w:tab w:val="left" w:pos="6473"/>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ab/>
      </w:r>
      <w:r w:rsidRPr="004B4820">
        <w:rPr>
          <w:rStyle w:val="BodyTextChar"/>
          <w:rFonts w:ascii="Times New Roman" w:hAnsi="Times New Roman" w:cs="Times New Roman"/>
          <w:b/>
          <w:bCs/>
          <w:color w:val="auto"/>
          <w:sz w:val="24"/>
          <w:szCs w:val="24"/>
        </w:rPr>
        <w:tab/>
        <w:t xml:space="preserve"> reprezentat(ă) legal prin</w:t>
      </w:r>
      <w:r w:rsidRPr="004B4820">
        <w:rPr>
          <w:rStyle w:val="BodyTextChar"/>
          <w:rFonts w:ascii="Times New Roman" w:hAnsi="Times New Roman" w:cs="Times New Roman"/>
          <w:b/>
          <w:bCs/>
          <w:color w:val="auto"/>
          <w:sz w:val="24"/>
          <w:szCs w:val="24"/>
        </w:rPr>
        <w:tab/>
        <w:t>(numele</w:t>
      </w:r>
      <w:r w:rsidRPr="004B4820">
        <w:rPr>
          <w:rStyle w:val="BodyTextChar"/>
          <w:rFonts w:ascii="Times New Roman" w:hAnsi="Times New Roman" w:cs="Times New Roman"/>
          <w:b/>
          <w:bCs/>
          <w:color w:val="auto"/>
          <w:sz w:val="24"/>
          <w:szCs w:val="24"/>
        </w:rPr>
        <w:tab/>
        <w:t xml:space="preserve">și prenumele), domiciliat(ă) în </w:t>
      </w:r>
      <w:r w:rsidRPr="004B4820">
        <w:rPr>
          <w:rStyle w:val="BodyTextChar"/>
          <w:rFonts w:ascii="Times New Roman" w:hAnsi="Times New Roman" w:cs="Times New Roman"/>
          <w:b/>
          <w:bCs/>
          <w:color w:val="auto"/>
          <w:sz w:val="24"/>
          <w:szCs w:val="24"/>
        </w:rPr>
        <w:tab/>
        <w:t xml:space="preserve"> (adresa</w:t>
      </w:r>
      <w:r w:rsidRPr="004B4820">
        <w:rPr>
          <w:rStyle w:val="BodyTextChar"/>
          <w:rFonts w:ascii="Times New Roman" w:hAnsi="Times New Roman" w:cs="Times New Roman"/>
          <w:b/>
          <w:bCs/>
          <w:color w:val="auto"/>
          <w:sz w:val="24"/>
          <w:szCs w:val="24"/>
        </w:rPr>
        <w:tab/>
        <w:t>completă, inclusiv telefon),identificat(ă) prin</w:t>
      </w:r>
    </w:p>
    <w:p w:rsidR="001E40B6" w:rsidRPr="004B4820" w:rsidRDefault="001E40B6" w:rsidP="00446AE2">
      <w:pPr>
        <w:pStyle w:val="BodyText"/>
        <w:tabs>
          <w:tab w:val="right" w:leader="dot" w:pos="4382"/>
          <w:tab w:val="left" w:pos="4586"/>
          <w:tab w:val="right" w:leader="dot" w:pos="6336"/>
          <w:tab w:val="left" w:pos="6539"/>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ab/>
        <w:t xml:space="preserve"> (actul</w:t>
      </w:r>
      <w:r w:rsidRPr="004B4820">
        <w:rPr>
          <w:rStyle w:val="BodyTextChar"/>
          <w:rFonts w:ascii="Times New Roman" w:hAnsi="Times New Roman" w:cs="Times New Roman"/>
          <w:b/>
          <w:bCs/>
          <w:color w:val="auto"/>
          <w:sz w:val="24"/>
          <w:szCs w:val="24"/>
        </w:rPr>
        <w:tab/>
        <w:t xml:space="preserve">de identitate: seria, numărul și emitentul, precum și codul numeric personal),în conformitate cu prevederile </w:t>
      </w:r>
      <w:r w:rsidRPr="004B4820">
        <w:rPr>
          <w:rStyle w:val="BodyTextChar"/>
          <w:rFonts w:ascii="Times New Roman" w:hAnsi="Times New Roman" w:cs="Times New Roman"/>
          <w:b/>
          <w:bCs/>
          <w:color w:val="auto"/>
          <w:sz w:val="24"/>
          <w:szCs w:val="24"/>
          <w:u w:val="single"/>
        </w:rPr>
        <w:t>Hotărârii Guvernului 89/2020</w:t>
      </w:r>
      <w:r w:rsidRPr="004B4820">
        <w:rPr>
          <w:rStyle w:val="BodyTextChar"/>
          <w:rFonts w:ascii="Times New Roman" w:hAnsi="Times New Roman" w:cs="Times New Roman"/>
          <w:b/>
          <w:bCs/>
          <w:color w:val="auto"/>
          <w:sz w:val="24"/>
          <w:szCs w:val="24"/>
        </w:rPr>
        <w:t xml:space="preserve"> privind organizarea și funcționarea Autorității pentru Digitalizarea României, cu modificările și completările ulterioare și prevederile Legii nr. 214/2024 privind utilizarea semnăturii electronice, a mărcii temporale și prestarea serviciilor de încredere bazate pe acestea, vă solicităm înregistrarea în Registrul prestatorilor de servicii de încredere necalificate pentru serviciul de încredere</w:t>
      </w:r>
      <w:r w:rsidRPr="004B4820">
        <w:rPr>
          <w:rStyle w:val="BodyTextChar"/>
          <w:rFonts w:ascii="Times New Roman" w:hAnsi="Times New Roman" w:cs="Times New Roman"/>
          <w:b/>
          <w:bCs/>
          <w:color w:val="auto"/>
          <w:sz w:val="24"/>
          <w:szCs w:val="24"/>
        </w:rPr>
        <w:tab/>
        <w:t>cu</w:t>
      </w:r>
      <w:r w:rsidRPr="004B4820">
        <w:rPr>
          <w:rStyle w:val="BodyTextChar"/>
          <w:rFonts w:ascii="Times New Roman" w:hAnsi="Times New Roman" w:cs="Times New Roman"/>
          <w:b/>
          <w:bCs/>
          <w:color w:val="auto"/>
          <w:sz w:val="24"/>
          <w:szCs w:val="24"/>
        </w:rPr>
        <w:tab/>
        <w:t xml:space="preserve">următoarele </w:t>
      </w:r>
      <w:proofErr w:type="spellStart"/>
      <w:r w:rsidRPr="004B4820">
        <w:rPr>
          <w:rStyle w:val="BodyTextChar"/>
          <w:rFonts w:ascii="Times New Roman" w:hAnsi="Times New Roman" w:cs="Times New Roman"/>
          <w:b/>
          <w:bCs/>
          <w:color w:val="auto"/>
          <w:sz w:val="24"/>
          <w:szCs w:val="24"/>
        </w:rPr>
        <w:t>caracteristid</w:t>
      </w:r>
      <w:proofErr w:type="spellEnd"/>
    </w:p>
    <w:p w:rsidR="001E40B6" w:rsidRPr="004B4820" w:rsidRDefault="001E40B6" w:rsidP="00446AE2">
      <w:pPr>
        <w:pStyle w:val="BodyText"/>
        <w:tabs>
          <w:tab w:val="left" w:pos="8381"/>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generale</w:t>
      </w:r>
      <w:r w:rsidRPr="004B4820">
        <w:rPr>
          <w:rStyle w:val="BodyTextChar"/>
          <w:rFonts w:ascii="Times New Roman" w:hAnsi="Times New Roman" w:cs="Times New Roman"/>
          <w:b/>
          <w:bCs/>
          <w:color w:val="auto"/>
          <w:sz w:val="24"/>
          <w:szCs w:val="24"/>
        </w:rPr>
        <w:tab/>
        <w:t>(scurtă</w:t>
      </w:r>
    </w:p>
    <w:p w:rsidR="001E40B6" w:rsidRPr="004B4820" w:rsidRDefault="001E40B6" w:rsidP="00446AE2">
      <w:pPr>
        <w:pStyle w:val="BodyText"/>
        <w:tabs>
          <w:tab w:val="left" w:leader="dot" w:pos="8966"/>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descriere):</w:t>
      </w:r>
      <w:r w:rsidRPr="004B4820">
        <w:rPr>
          <w:rStyle w:val="BodyTextChar"/>
          <w:rFonts w:ascii="Times New Roman" w:hAnsi="Times New Roman" w:cs="Times New Roman"/>
          <w:b/>
          <w:bCs/>
          <w:color w:val="auto"/>
          <w:sz w:val="24"/>
          <w:szCs w:val="24"/>
        </w:rPr>
        <w:tab/>
      </w:r>
    </w:p>
    <w:p w:rsidR="001E40B6" w:rsidRPr="004B4820" w:rsidRDefault="001E40B6" w:rsidP="00446AE2">
      <w:pPr>
        <w:pStyle w:val="BodyText"/>
        <w:tabs>
          <w:tab w:val="left" w:leader="dot" w:pos="6720"/>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Sistemul funcționează (va funcționa) la sediul din</w:t>
      </w:r>
      <w:r w:rsidRPr="004B4820">
        <w:rPr>
          <w:rStyle w:val="BodyTextChar"/>
          <w:rFonts w:ascii="Times New Roman" w:hAnsi="Times New Roman" w:cs="Times New Roman"/>
          <w:b/>
          <w:bCs/>
          <w:color w:val="auto"/>
          <w:sz w:val="24"/>
          <w:szCs w:val="24"/>
        </w:rPr>
        <w:tab/>
      </w:r>
    </w:p>
    <w:p w:rsidR="001E40B6" w:rsidRPr="004B4820" w:rsidRDefault="001E40B6" w:rsidP="00446AE2">
      <w:pPr>
        <w:pStyle w:val="BodyText"/>
        <w:tabs>
          <w:tab w:val="left" w:leader="dot" w:pos="5256"/>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Numele și prenumele solicitantului</w:t>
      </w:r>
      <w:r w:rsidRPr="004B4820">
        <w:rPr>
          <w:rStyle w:val="BodyTextChar"/>
          <w:rFonts w:ascii="Times New Roman" w:hAnsi="Times New Roman" w:cs="Times New Roman"/>
          <w:b/>
          <w:bCs/>
          <w:color w:val="auto"/>
          <w:sz w:val="24"/>
          <w:szCs w:val="24"/>
        </w:rPr>
        <w:tab/>
      </w:r>
    </w:p>
    <w:p w:rsidR="001E40B6" w:rsidRPr="004B4820" w:rsidRDefault="001E40B6" w:rsidP="00446AE2">
      <w:pPr>
        <w:pStyle w:val="BodyText"/>
        <w:tabs>
          <w:tab w:val="left" w:leader="dot" w:pos="1310"/>
        </w:tabs>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Data</w:t>
      </w:r>
      <w:r w:rsidRPr="004B4820">
        <w:rPr>
          <w:rStyle w:val="BodyTextChar"/>
          <w:rFonts w:ascii="Times New Roman" w:hAnsi="Times New Roman" w:cs="Times New Roman"/>
          <w:b/>
          <w:bCs/>
          <w:color w:val="auto"/>
          <w:sz w:val="24"/>
          <w:szCs w:val="24"/>
        </w:rPr>
        <w:tab/>
      </w:r>
    </w:p>
    <w:p w:rsidR="001E40B6" w:rsidRPr="004B4820" w:rsidRDefault="001E40B6" w:rsidP="00446AE2">
      <w:pPr>
        <w:pStyle w:val="BodyText"/>
        <w:tabs>
          <w:tab w:val="left" w:pos="422"/>
          <w:tab w:val="left" w:pos="736"/>
        </w:tabs>
        <w:spacing w:line="360" w:lineRule="auto"/>
        <w:jc w:val="both"/>
        <w:rPr>
          <w:rStyle w:val="BodyTextChar"/>
          <w:rFonts w:ascii="Times New Roman" w:hAnsi="Times New Roman" w:cs="Times New Roman"/>
          <w:b/>
          <w:bCs/>
          <w:color w:val="auto"/>
          <w:sz w:val="24"/>
          <w:szCs w:val="24"/>
        </w:rPr>
      </w:pPr>
      <w:r w:rsidRPr="004B4820">
        <w:rPr>
          <w:rStyle w:val="BodyTextChar"/>
          <w:rFonts w:ascii="Times New Roman" w:hAnsi="Times New Roman" w:cs="Times New Roman"/>
          <w:b/>
          <w:bCs/>
          <w:color w:val="auto"/>
          <w:sz w:val="24"/>
          <w:szCs w:val="24"/>
        </w:rPr>
        <w:t>Semnătura solicitantului</w:t>
      </w:r>
    </w:p>
    <w:p w:rsidR="001E40B6" w:rsidRPr="004B4820" w:rsidRDefault="001E40B6" w:rsidP="00446AE2">
      <w:pPr>
        <w:pStyle w:val="BodyText"/>
        <w:tabs>
          <w:tab w:val="left" w:pos="422"/>
          <w:tab w:val="left" w:pos="736"/>
        </w:tabs>
        <w:spacing w:line="360" w:lineRule="auto"/>
        <w:jc w:val="both"/>
        <w:rPr>
          <w:rStyle w:val="BodyTextChar"/>
          <w:rFonts w:ascii="Times New Roman" w:hAnsi="Times New Roman" w:cs="Times New Roman"/>
          <w:b/>
          <w:bCs/>
          <w:color w:val="auto"/>
          <w:sz w:val="24"/>
          <w:szCs w:val="24"/>
        </w:rPr>
      </w:pPr>
    </w:p>
    <w:p w:rsidR="001E40B6" w:rsidRPr="004B4820" w:rsidRDefault="001E40B6"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Anexa nr. 4</w:t>
      </w:r>
    </w:p>
    <w:p w:rsidR="001E40B6" w:rsidRPr="004B4820" w:rsidRDefault="001E40B6" w:rsidP="00446AE2">
      <w:pPr>
        <w:pStyle w:val="BodyText"/>
        <w:spacing w:line="360" w:lineRule="auto"/>
        <w:jc w:val="both"/>
        <w:rPr>
          <w:rStyle w:val="BodyTextChar"/>
          <w:rFonts w:ascii="Times New Roman" w:hAnsi="Times New Roman" w:cs="Times New Roman"/>
          <w:b/>
          <w:bCs/>
          <w:color w:val="auto"/>
          <w:sz w:val="24"/>
          <w:szCs w:val="24"/>
        </w:rPr>
      </w:pPr>
      <w:r w:rsidRPr="004B4820">
        <w:rPr>
          <w:rStyle w:val="BodyTextChar"/>
          <w:rFonts w:ascii="Times New Roman" w:hAnsi="Times New Roman" w:cs="Times New Roman"/>
          <w:b/>
          <w:bCs/>
          <w:color w:val="auto"/>
          <w:sz w:val="24"/>
          <w:szCs w:val="24"/>
        </w:rPr>
        <w:t>PROCEDURA de supraveghere, control și sancționare a prestatorilor de servicii de</w:t>
      </w:r>
      <w:r w:rsidRPr="004B4820">
        <w:rPr>
          <w:rStyle w:val="BodyTextChar"/>
          <w:rFonts w:ascii="Times New Roman" w:hAnsi="Times New Roman" w:cs="Times New Roman"/>
          <w:b/>
          <w:bCs/>
          <w:color w:val="auto"/>
          <w:sz w:val="24"/>
          <w:szCs w:val="24"/>
        </w:rPr>
        <w:br/>
        <w:t>încredere</w:t>
      </w:r>
    </w:p>
    <w:p w:rsidR="00446AE2" w:rsidRPr="004B4820" w:rsidRDefault="00446AE2" w:rsidP="00446AE2">
      <w:pPr>
        <w:pStyle w:val="BodyText"/>
        <w:spacing w:line="360" w:lineRule="auto"/>
        <w:jc w:val="both"/>
        <w:rPr>
          <w:rFonts w:ascii="Times New Roman" w:hAnsi="Times New Roman" w:cs="Times New Roman"/>
          <w:color w:val="auto"/>
          <w:sz w:val="24"/>
          <w:szCs w:val="24"/>
        </w:rPr>
      </w:pPr>
    </w:p>
    <w:p w:rsidR="001E40B6" w:rsidRPr="004B4820" w:rsidRDefault="001E40B6" w:rsidP="00446AE2">
      <w:pPr>
        <w:pStyle w:val="Heading30"/>
        <w:keepNext/>
        <w:keepLines/>
        <w:spacing w:line="360" w:lineRule="auto"/>
        <w:jc w:val="both"/>
        <w:rPr>
          <w:rFonts w:ascii="Times New Roman" w:hAnsi="Times New Roman" w:cs="Times New Roman"/>
          <w:b w:val="0"/>
          <w:sz w:val="24"/>
          <w:szCs w:val="24"/>
        </w:rPr>
      </w:pPr>
      <w:bookmarkStart w:id="21" w:name="bookmark44"/>
      <w:r w:rsidRPr="004B4820">
        <w:rPr>
          <w:rStyle w:val="Heading3"/>
          <w:rFonts w:ascii="Times New Roman" w:hAnsi="Times New Roman" w:cs="Times New Roman"/>
          <w:b/>
          <w:sz w:val="24"/>
          <w:szCs w:val="24"/>
        </w:rPr>
        <w:t>CAPITOLUL I - Supraveghere și control</w:t>
      </w:r>
      <w:bookmarkEnd w:id="21"/>
    </w:p>
    <w:p w:rsidR="001E40B6" w:rsidRPr="004B4820" w:rsidRDefault="001E40B6" w:rsidP="00446AE2">
      <w:pPr>
        <w:pStyle w:val="Heading30"/>
        <w:keepNext/>
        <w:keepLines/>
        <w:spacing w:line="360" w:lineRule="auto"/>
        <w:jc w:val="both"/>
        <w:rPr>
          <w:rFonts w:ascii="Times New Roman" w:hAnsi="Times New Roman" w:cs="Times New Roman"/>
          <w:b w:val="0"/>
          <w:sz w:val="24"/>
          <w:szCs w:val="24"/>
        </w:rPr>
      </w:pPr>
      <w:r w:rsidRPr="004B4820">
        <w:rPr>
          <w:rStyle w:val="Heading3"/>
          <w:rFonts w:ascii="Times New Roman" w:hAnsi="Times New Roman" w:cs="Times New Roman"/>
          <w:b/>
          <w:sz w:val="24"/>
          <w:szCs w:val="24"/>
        </w:rPr>
        <w:t>Art. 1</w:t>
      </w:r>
    </w:p>
    <w:p w:rsidR="001E40B6" w:rsidRPr="004B4820" w:rsidRDefault="001E40B6" w:rsidP="00446AE2">
      <w:pPr>
        <w:pStyle w:val="BodyText"/>
        <w:numPr>
          <w:ilvl w:val="0"/>
          <w:numId w:val="33"/>
        </w:numPr>
        <w:tabs>
          <w:tab w:val="left" w:pos="785"/>
        </w:tabs>
        <w:spacing w:line="360" w:lineRule="auto"/>
        <w:ind w:left="680" w:hanging="32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ADR, în calitate de organism de supraveghere, desfășoară activități de supraveghere și control, acestea constând în verificarea și analizarea implementării prevederilor legale din domeniul prestării serviciilor de încredere.</w:t>
      </w:r>
    </w:p>
    <w:p w:rsidR="001E40B6" w:rsidRPr="004B4820" w:rsidRDefault="001E40B6" w:rsidP="00446AE2">
      <w:pPr>
        <w:pStyle w:val="BodyText"/>
        <w:numPr>
          <w:ilvl w:val="0"/>
          <w:numId w:val="33"/>
        </w:numPr>
        <w:tabs>
          <w:tab w:val="left" w:pos="780"/>
        </w:tabs>
        <w:spacing w:line="360" w:lineRule="auto"/>
        <w:ind w:left="680" w:hanging="32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Instituțiile din domeniul apărării, ordinii publice și siguranței naționale desemnează la nivel intern un organism de supraveghere cu rol de instituire, menținere și supraveghere a modului de organizare a activității prestatorului de servicii de încredere necalificate.</w:t>
      </w:r>
    </w:p>
    <w:p w:rsidR="001E40B6" w:rsidRPr="004B4820" w:rsidRDefault="001E40B6" w:rsidP="00446AE2">
      <w:pPr>
        <w:pStyle w:val="BodyText"/>
        <w:numPr>
          <w:ilvl w:val="0"/>
          <w:numId w:val="33"/>
        </w:numPr>
        <w:tabs>
          <w:tab w:val="left" w:pos="785"/>
        </w:tabs>
        <w:spacing w:line="360" w:lineRule="auto"/>
        <w:ind w:left="680" w:hanging="32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Organismele de supraveghere interne prevăzute la alin. (2) instituie și mențin relația cu organismul de supraveghere prevăzut la art. 19, alin. (1) din Legea nr. 214/2024.</w:t>
      </w:r>
    </w:p>
    <w:p w:rsidR="001E40B6" w:rsidRPr="004B4820" w:rsidRDefault="001E40B6" w:rsidP="00446AE2">
      <w:pPr>
        <w:pStyle w:val="Heading30"/>
        <w:keepNext/>
        <w:keepLines/>
        <w:spacing w:line="360" w:lineRule="auto"/>
        <w:jc w:val="both"/>
        <w:rPr>
          <w:rFonts w:ascii="Times New Roman" w:hAnsi="Times New Roman" w:cs="Times New Roman"/>
          <w:b w:val="0"/>
          <w:sz w:val="24"/>
          <w:szCs w:val="24"/>
        </w:rPr>
      </w:pPr>
      <w:bookmarkStart w:id="22" w:name="bookmark47"/>
      <w:r w:rsidRPr="004B4820">
        <w:rPr>
          <w:rStyle w:val="Heading3"/>
          <w:rFonts w:ascii="Times New Roman" w:hAnsi="Times New Roman" w:cs="Times New Roman"/>
          <w:b/>
          <w:sz w:val="24"/>
          <w:szCs w:val="24"/>
        </w:rPr>
        <w:t>Art. 2</w:t>
      </w:r>
      <w:bookmarkEnd w:id="22"/>
    </w:p>
    <w:p w:rsidR="001E40B6" w:rsidRPr="004B4820" w:rsidRDefault="001E40B6" w:rsidP="00446AE2">
      <w:pPr>
        <w:pStyle w:val="BodyText"/>
        <w:numPr>
          <w:ilvl w:val="0"/>
          <w:numId w:val="34"/>
        </w:numPr>
        <w:tabs>
          <w:tab w:val="left" w:pos="785"/>
        </w:tabs>
        <w:spacing w:line="360" w:lineRule="auto"/>
        <w:ind w:left="680" w:hanging="32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ADR poate, din oficiu, la solicitarea oricărei persoane interesate sau în cadrul controalelor periodice, să verifice sau să dispună verificarea conformității activităților unui prestator de servicii de încredere, precum și concordanța dintre informațiile cuprinse în documentația depusă și modul de desfășurare a activității prestatorului.</w:t>
      </w:r>
    </w:p>
    <w:p w:rsidR="001E40B6" w:rsidRPr="004B4820" w:rsidRDefault="001E40B6" w:rsidP="00446AE2">
      <w:pPr>
        <w:pStyle w:val="BodyText"/>
        <w:numPr>
          <w:ilvl w:val="0"/>
          <w:numId w:val="34"/>
        </w:numPr>
        <w:tabs>
          <w:tab w:val="left" w:pos="785"/>
        </w:tabs>
        <w:spacing w:line="360" w:lineRule="auto"/>
        <w:ind w:firstLine="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realizarea atribuțiilor de supraveghere și control, ADR:</w:t>
      </w:r>
    </w:p>
    <w:p w:rsidR="001E40B6" w:rsidRPr="004B4820" w:rsidRDefault="001E40B6" w:rsidP="00446AE2">
      <w:pPr>
        <w:pStyle w:val="BodyText"/>
        <w:numPr>
          <w:ilvl w:val="0"/>
          <w:numId w:val="35"/>
        </w:numPr>
        <w:tabs>
          <w:tab w:val="left" w:pos="1038"/>
        </w:tabs>
        <w:spacing w:line="360" w:lineRule="auto"/>
        <w:ind w:left="680" w:firstLine="20"/>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cooperează cu Autoritatea Națională de Supraveghere a Prelucrării Datelor cu Caracter Personal, dacă în urma verificării se constată încălcări ale normelor de protecție a datelor cu caracter personal;</w:t>
      </w:r>
    </w:p>
    <w:p w:rsidR="001E40B6" w:rsidRPr="004B4820" w:rsidRDefault="001E40B6" w:rsidP="00446AE2">
      <w:pPr>
        <w:pStyle w:val="BodyText"/>
        <w:numPr>
          <w:ilvl w:val="0"/>
          <w:numId w:val="35"/>
        </w:numPr>
        <w:tabs>
          <w:tab w:val="left" w:pos="1038"/>
        </w:tabs>
        <w:spacing w:line="360" w:lineRule="auto"/>
        <w:ind w:left="680" w:firstLine="2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îndeplinește orice alte atribuții stabilite prin Regulamentul (UE) nr. 910/2014, cu și prin Legea nr. 214/2024;</w:t>
      </w:r>
    </w:p>
    <w:p w:rsidR="001E40B6" w:rsidRPr="004B4820" w:rsidRDefault="001E40B6" w:rsidP="00446AE2">
      <w:pPr>
        <w:pStyle w:val="BodyText"/>
        <w:numPr>
          <w:ilvl w:val="0"/>
          <w:numId w:val="35"/>
        </w:numPr>
        <w:tabs>
          <w:tab w:val="left" w:pos="1053"/>
        </w:tabs>
        <w:spacing w:line="360" w:lineRule="auto"/>
        <w:ind w:left="680" w:firstLine="20"/>
        <w:jc w:val="both"/>
        <w:rPr>
          <w:rFonts w:ascii="Times New Roman" w:hAnsi="Times New Roman" w:cs="Times New Roman"/>
          <w:color w:val="auto"/>
          <w:sz w:val="24"/>
          <w:szCs w:val="24"/>
        </w:rPr>
        <w:sectPr w:rsidR="001E40B6" w:rsidRPr="004B4820" w:rsidSect="00D66746">
          <w:headerReference w:type="default" r:id="rId8"/>
          <w:pgSz w:w="11900" w:h="16840"/>
          <w:pgMar w:top="2654" w:right="1282" w:bottom="1440" w:left="1464" w:header="0" w:footer="822" w:gutter="0"/>
          <w:cols w:space="720"/>
          <w:noEndnote/>
          <w:docGrid w:linePitch="360"/>
        </w:sectPr>
      </w:pPr>
      <w:r w:rsidRPr="004B4820">
        <w:rPr>
          <w:rStyle w:val="BodyTextChar"/>
          <w:rFonts w:ascii="Times New Roman" w:hAnsi="Times New Roman" w:cs="Times New Roman"/>
          <w:color w:val="auto"/>
          <w:sz w:val="24"/>
          <w:szCs w:val="24"/>
        </w:rPr>
        <w:t>dispune măsuri de remediere și sancțiuni în conformitate cu legislația în vigoare.</w:t>
      </w:r>
    </w:p>
    <w:p w:rsidR="001E40B6" w:rsidRPr="004B4820" w:rsidRDefault="001E40B6" w:rsidP="00446AE2">
      <w:pPr>
        <w:pStyle w:val="Heading30"/>
        <w:keepNext/>
        <w:keepLines/>
        <w:spacing w:line="360" w:lineRule="auto"/>
        <w:jc w:val="both"/>
        <w:rPr>
          <w:rFonts w:ascii="Times New Roman" w:hAnsi="Times New Roman" w:cs="Times New Roman"/>
          <w:b w:val="0"/>
          <w:sz w:val="24"/>
          <w:szCs w:val="24"/>
        </w:rPr>
      </w:pPr>
      <w:bookmarkStart w:id="23" w:name="bookmark49"/>
      <w:r w:rsidRPr="004B4820">
        <w:rPr>
          <w:rStyle w:val="Heading3"/>
          <w:rFonts w:ascii="Times New Roman" w:hAnsi="Times New Roman" w:cs="Times New Roman"/>
          <w:b/>
          <w:sz w:val="24"/>
          <w:szCs w:val="24"/>
        </w:rPr>
        <w:lastRenderedPageBreak/>
        <w:t>Art. 3</w:t>
      </w:r>
      <w:bookmarkEnd w:id="23"/>
    </w:p>
    <w:p w:rsidR="001E40B6" w:rsidRPr="004B4820" w:rsidRDefault="001E40B6" w:rsidP="00446AE2">
      <w:pPr>
        <w:pStyle w:val="BodyText"/>
        <w:numPr>
          <w:ilvl w:val="0"/>
          <w:numId w:val="36"/>
        </w:numPr>
        <w:tabs>
          <w:tab w:val="left" w:pos="675"/>
        </w:tabs>
        <w:spacing w:line="360" w:lineRule="auto"/>
        <w:ind w:firstLine="280"/>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ADR poate, cu notificare prealabilă sau fără notificare atunci când există indicii rezonabile privind nerespectarea legislației sau în urma raportării unor incidente de securitate:</w:t>
      </w:r>
    </w:p>
    <w:p w:rsidR="001E40B6" w:rsidRPr="004B4820" w:rsidRDefault="001E40B6" w:rsidP="00446AE2">
      <w:pPr>
        <w:pStyle w:val="BodyText"/>
        <w:numPr>
          <w:ilvl w:val="0"/>
          <w:numId w:val="37"/>
        </w:numPr>
        <w:tabs>
          <w:tab w:val="left" w:pos="675"/>
        </w:tabs>
        <w:spacing w:line="360" w:lineRule="auto"/>
        <w:ind w:left="600" w:hanging="28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să efectueze controale sau să solicite unui organism de evaluare a conformității să efectueze o evaluare a conformității privind prestatorii de servicii de încredere calificați, pe cheltuiala prestatorilor de servicii de încredere respectivi, pentru a confirma că aceștia și serviciile de încredere calificate pe care le prestează îndeplinesc cerințele prevăzute de legislația în vigoare.</w:t>
      </w:r>
    </w:p>
    <w:p w:rsidR="001E40B6" w:rsidRPr="004B4820" w:rsidRDefault="001E40B6" w:rsidP="00446AE2">
      <w:pPr>
        <w:pStyle w:val="BodyText"/>
        <w:numPr>
          <w:ilvl w:val="0"/>
          <w:numId w:val="37"/>
        </w:numPr>
        <w:tabs>
          <w:tab w:val="left" w:pos="675"/>
        </w:tabs>
        <w:spacing w:line="360" w:lineRule="auto"/>
        <w:ind w:left="600" w:hanging="28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 xml:space="preserve">Să efectueze controale la prestatorii de servicii de încredere necalificați. În măsura în care rezultă în urma unui astfel de control necesitatea unui nou raport de audit pentru </w:t>
      </w:r>
      <w:proofErr w:type="spellStart"/>
      <w:r w:rsidRPr="004B4820">
        <w:rPr>
          <w:rStyle w:val="BodyTextChar"/>
          <w:rFonts w:ascii="Times New Roman" w:hAnsi="Times New Roman" w:cs="Times New Roman"/>
          <w:color w:val="auto"/>
          <w:sz w:val="24"/>
          <w:szCs w:val="24"/>
        </w:rPr>
        <w:t>pentru</w:t>
      </w:r>
      <w:proofErr w:type="spellEnd"/>
      <w:r w:rsidRPr="004B4820">
        <w:rPr>
          <w:rStyle w:val="BodyTextChar"/>
          <w:rFonts w:ascii="Times New Roman" w:hAnsi="Times New Roman" w:cs="Times New Roman"/>
          <w:color w:val="auto"/>
          <w:sz w:val="24"/>
          <w:szCs w:val="24"/>
        </w:rPr>
        <w:t xml:space="preserve"> a confirma că serviciile prestate continuă să îndeplinească cerințele prevăzute de legislația în vigoare, ADR poate solicita prezentarea unui astfel de raport de audit emis de către un auditor înscris în Lista auditorilor IT, creată, menținută și publicată pe site-ul </w:t>
      </w:r>
      <w:proofErr w:type="spellStart"/>
      <w:r w:rsidRPr="004B4820">
        <w:rPr>
          <w:rStyle w:val="BodyTextChar"/>
          <w:rFonts w:ascii="Times New Roman" w:hAnsi="Times New Roman" w:cs="Times New Roman"/>
          <w:color w:val="auto"/>
          <w:sz w:val="24"/>
          <w:szCs w:val="24"/>
        </w:rPr>
        <w:t>ADR.Această</w:t>
      </w:r>
      <w:proofErr w:type="spellEnd"/>
      <w:r w:rsidRPr="004B4820">
        <w:rPr>
          <w:rStyle w:val="BodyTextChar"/>
          <w:rFonts w:ascii="Times New Roman" w:hAnsi="Times New Roman" w:cs="Times New Roman"/>
          <w:color w:val="auto"/>
          <w:sz w:val="24"/>
          <w:szCs w:val="24"/>
        </w:rPr>
        <w:t xml:space="preserve"> prevedere nu se aplică operatorilor din anexa 3.</w:t>
      </w:r>
    </w:p>
    <w:p w:rsidR="001E40B6" w:rsidRPr="004B4820" w:rsidRDefault="001E40B6" w:rsidP="00446AE2">
      <w:pPr>
        <w:pStyle w:val="BodyText"/>
        <w:numPr>
          <w:ilvl w:val="0"/>
          <w:numId w:val="36"/>
        </w:numPr>
        <w:tabs>
          <w:tab w:val="left" w:pos="994"/>
        </w:tabs>
        <w:spacing w:line="360" w:lineRule="auto"/>
        <w:ind w:firstLine="27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cazul în care prestatorul de servicii de încredere nu îndeplinește oricare dintre cerințele prevăzute de legislația în vigoare, ADR îi solicită să remedieze situația într-un termen stabilit, care nu poate fi mai mic de 60 de zile, dacă este cazul.</w:t>
      </w:r>
    </w:p>
    <w:p w:rsidR="001E40B6" w:rsidRPr="004B4820" w:rsidRDefault="001E40B6" w:rsidP="00446AE2">
      <w:pPr>
        <w:pStyle w:val="BodyText"/>
        <w:numPr>
          <w:ilvl w:val="0"/>
          <w:numId w:val="36"/>
        </w:numPr>
        <w:tabs>
          <w:tab w:val="left" w:pos="994"/>
        </w:tabs>
        <w:spacing w:line="360" w:lineRule="auto"/>
        <w:ind w:firstLine="27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cazul în care prestatorul de servicii de încredere calificat respectiv nu remediază situația în termenul stabilit de ADR, acesta din urmă poate începe procedura de suspendare/retragere a statutului calificat, conform art. 4, alin. (3) din Anexa nr. 1 la prezentul ordin, precum și aplicarea sancțiunilor prevăzute la cap. II din prezenta anexă.</w:t>
      </w:r>
    </w:p>
    <w:p w:rsidR="001E40B6" w:rsidRPr="004B4820" w:rsidRDefault="001E40B6" w:rsidP="00446AE2">
      <w:pPr>
        <w:pStyle w:val="BodyText"/>
        <w:numPr>
          <w:ilvl w:val="0"/>
          <w:numId w:val="36"/>
        </w:numPr>
        <w:tabs>
          <w:tab w:val="left" w:pos="994"/>
        </w:tabs>
        <w:spacing w:line="360" w:lineRule="auto"/>
        <w:ind w:firstLine="27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cazul în care prestatorul de servicii de încredere necalificat nu îndeplinește cerințele prevăzute la alin. (2), ADR dispune aplicarea sancțiunilor prevăzute la cap. II din prezenta anexă.</w:t>
      </w:r>
    </w:p>
    <w:p w:rsidR="001E40B6" w:rsidRPr="004B4820" w:rsidRDefault="001E40B6" w:rsidP="00446AE2">
      <w:pPr>
        <w:pStyle w:val="Heading30"/>
        <w:keepNext/>
        <w:keepLines/>
        <w:spacing w:line="360" w:lineRule="auto"/>
        <w:jc w:val="both"/>
        <w:rPr>
          <w:rFonts w:ascii="Times New Roman" w:hAnsi="Times New Roman" w:cs="Times New Roman"/>
          <w:sz w:val="24"/>
          <w:szCs w:val="24"/>
        </w:rPr>
      </w:pPr>
      <w:bookmarkStart w:id="24" w:name="bookmark51"/>
      <w:r w:rsidRPr="004B4820">
        <w:rPr>
          <w:rStyle w:val="Heading3"/>
          <w:rFonts w:ascii="Times New Roman" w:hAnsi="Times New Roman" w:cs="Times New Roman"/>
          <w:sz w:val="24"/>
          <w:szCs w:val="24"/>
        </w:rPr>
        <w:t>Art. 4</w:t>
      </w:r>
      <w:bookmarkEnd w:id="24"/>
    </w:p>
    <w:p w:rsidR="001E40B6" w:rsidRPr="004B4820" w:rsidRDefault="001E40B6"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exercitarea atribuțiilor de serviciu, personalul cu atribuții de supraveghere și control are dreptul:</w:t>
      </w:r>
    </w:p>
    <w:p w:rsidR="001E40B6" w:rsidRPr="004B4820" w:rsidRDefault="001E40B6" w:rsidP="00446AE2">
      <w:pPr>
        <w:pStyle w:val="BodyText"/>
        <w:numPr>
          <w:ilvl w:val="0"/>
          <w:numId w:val="38"/>
        </w:numPr>
        <w:tabs>
          <w:tab w:val="left" w:pos="350"/>
        </w:tabs>
        <w:spacing w:line="360" w:lineRule="auto"/>
        <w:ind w:left="36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să aibă acces fizic și logic conform competențelor stabilite prin acte normative în toate spațiile unde își desfășoară activitatea prestatorul de servicii de încredere;</w:t>
      </w:r>
    </w:p>
    <w:p w:rsidR="001E40B6" w:rsidRPr="004B4820" w:rsidRDefault="001E40B6" w:rsidP="00446AE2">
      <w:pPr>
        <w:pStyle w:val="BodyText"/>
        <w:numPr>
          <w:ilvl w:val="0"/>
          <w:numId w:val="38"/>
        </w:numPr>
        <w:tabs>
          <w:tab w:val="left" w:pos="350"/>
        </w:tabs>
        <w:spacing w:line="360" w:lineRule="auto"/>
        <w:ind w:left="36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 xml:space="preserve">să solicite reprezentantului prestatorului de servicii de încredere orice documente sau materiale care conțin date relevante în legătură cu obiectul controlului și să ceară să i se pună la dispoziție copii ale acestora în format electronic, pentru fundamentarea constatărilor și măsurilor dispuse. Documentele vor fi puse la dispoziție sub formă de copii în format electronic într-un termen </w:t>
      </w:r>
      <w:r w:rsidR="004B4820">
        <w:rPr>
          <w:rStyle w:val="BodyTextChar"/>
          <w:rFonts w:ascii="Times New Roman" w:hAnsi="Times New Roman" w:cs="Times New Roman"/>
          <w:color w:val="auto"/>
          <w:sz w:val="24"/>
          <w:szCs w:val="24"/>
        </w:rPr>
        <w:t xml:space="preserve">rezonabil, precizat în raportul </w:t>
      </w:r>
      <w:r w:rsidRPr="004B4820">
        <w:rPr>
          <w:rStyle w:val="BodyTextChar"/>
          <w:rFonts w:ascii="Times New Roman" w:hAnsi="Times New Roman" w:cs="Times New Roman"/>
          <w:color w:val="auto"/>
          <w:sz w:val="24"/>
          <w:szCs w:val="24"/>
        </w:rPr>
        <w:t>întocmit în urma controlului;</w:t>
      </w:r>
    </w:p>
    <w:p w:rsidR="001E40B6" w:rsidRPr="004B4820" w:rsidRDefault="001E40B6" w:rsidP="00446AE2">
      <w:pPr>
        <w:pStyle w:val="BodyText"/>
        <w:numPr>
          <w:ilvl w:val="0"/>
          <w:numId w:val="38"/>
        </w:numPr>
        <w:tabs>
          <w:tab w:val="left" w:pos="346"/>
        </w:tabs>
        <w:spacing w:line="360" w:lineRule="auto"/>
        <w:ind w:left="36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lastRenderedPageBreak/>
        <w:t>să beneficieze periodic de programe de pregătire/instruire profesională specifice, raportate la legislația aflate în aria de competență.</w:t>
      </w:r>
    </w:p>
    <w:p w:rsidR="001E40B6" w:rsidRPr="004B4820" w:rsidRDefault="001E40B6" w:rsidP="00446AE2">
      <w:pPr>
        <w:pStyle w:val="Heading30"/>
        <w:keepNext/>
        <w:keepLines/>
        <w:spacing w:line="360" w:lineRule="auto"/>
        <w:jc w:val="both"/>
        <w:rPr>
          <w:rFonts w:ascii="Times New Roman" w:hAnsi="Times New Roman" w:cs="Times New Roman"/>
          <w:sz w:val="24"/>
          <w:szCs w:val="24"/>
        </w:rPr>
      </w:pPr>
      <w:bookmarkStart w:id="25" w:name="bookmark53"/>
      <w:r w:rsidRPr="004B4820">
        <w:rPr>
          <w:rStyle w:val="Heading3"/>
          <w:rFonts w:ascii="Times New Roman" w:hAnsi="Times New Roman" w:cs="Times New Roman"/>
          <w:sz w:val="24"/>
          <w:szCs w:val="24"/>
        </w:rPr>
        <w:t>Art. 5</w:t>
      </w:r>
      <w:bookmarkEnd w:id="25"/>
    </w:p>
    <w:p w:rsidR="001E40B6" w:rsidRPr="004B4820" w:rsidRDefault="001E40B6"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exercitarea atribuțiilor de serviciu, personalul cu atribuții de supraveghere și control este obligat:</w:t>
      </w:r>
    </w:p>
    <w:p w:rsidR="001E40B6" w:rsidRPr="004B4820" w:rsidRDefault="001E40B6" w:rsidP="00446AE2">
      <w:pPr>
        <w:pStyle w:val="BodyText"/>
        <w:numPr>
          <w:ilvl w:val="0"/>
          <w:numId w:val="39"/>
        </w:numPr>
        <w:tabs>
          <w:tab w:val="left" w:pos="346"/>
        </w:tabs>
        <w:spacing w:line="360" w:lineRule="auto"/>
        <w:ind w:left="36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să obțină date despre punctele de lucru utilizate de prestatorul de servicii de încredere, consultând Oficiul Național al Registrului Comerțului sau alte baze de date oficiale;</w:t>
      </w:r>
    </w:p>
    <w:p w:rsidR="001E40B6" w:rsidRPr="004B4820" w:rsidRDefault="001E40B6" w:rsidP="00446AE2">
      <w:pPr>
        <w:pStyle w:val="BodyText"/>
        <w:numPr>
          <w:ilvl w:val="0"/>
          <w:numId w:val="39"/>
        </w:numPr>
        <w:tabs>
          <w:tab w:val="left" w:pos="346"/>
        </w:tabs>
        <w:spacing w:line="360" w:lineRule="auto"/>
        <w:ind w:left="36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să prezinte reprezentantului prestatorului de servicii de încredere controlat, la începerea acțiunii de supraveghere și control, ordinul de serviciu/delegația/decizia și legitimația care confirmă calitatea și statutul;</w:t>
      </w:r>
    </w:p>
    <w:p w:rsidR="001E40B6" w:rsidRPr="004B4820" w:rsidRDefault="001E40B6" w:rsidP="00446AE2">
      <w:pPr>
        <w:pStyle w:val="BodyText"/>
        <w:numPr>
          <w:ilvl w:val="0"/>
          <w:numId w:val="39"/>
        </w:numPr>
        <w:tabs>
          <w:tab w:val="left" w:pos="346"/>
        </w:tabs>
        <w:spacing w:line="360" w:lineRule="auto"/>
        <w:ind w:left="36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să solicite prezentarea registrului unic de control conform prevederilor Legii nr. 252/2003 privind registrul unic de control și să asigure completarea acestuia;</w:t>
      </w:r>
    </w:p>
    <w:p w:rsidR="001E40B6" w:rsidRPr="004B4820" w:rsidRDefault="001E40B6" w:rsidP="00446AE2">
      <w:pPr>
        <w:pStyle w:val="BodyText"/>
        <w:numPr>
          <w:ilvl w:val="0"/>
          <w:numId w:val="39"/>
        </w:numPr>
        <w:tabs>
          <w:tab w:val="left" w:pos="346"/>
        </w:tabs>
        <w:spacing w:line="360" w:lineRule="auto"/>
        <w:ind w:left="36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să comunice reprezentantului prestatorului de servicii de încredere că documentele, materialele și alte înscrisuri obținute în timpul controlului își păstrează caracterul de confidențialitate;</w:t>
      </w:r>
    </w:p>
    <w:p w:rsidR="001E40B6" w:rsidRPr="004B4820" w:rsidRDefault="001E40B6" w:rsidP="00446AE2">
      <w:pPr>
        <w:pStyle w:val="BodyText"/>
        <w:tabs>
          <w:tab w:val="left" w:pos="422"/>
          <w:tab w:val="left" w:pos="736"/>
        </w:tabs>
        <w:spacing w:line="360" w:lineRule="auto"/>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să își fundamenteze constatările, concluziile și măsurile pe baza documentelor, informațiilor și datelor provenite de la reprezentanții prestatorului de servicii de încredere și a celor rezultate din analiza directă, precum și alte date și informații verificabile.</w:t>
      </w:r>
    </w:p>
    <w:p w:rsidR="00446AE2" w:rsidRPr="004B4820" w:rsidRDefault="00446AE2" w:rsidP="00446AE2">
      <w:pPr>
        <w:pStyle w:val="BodyText"/>
        <w:tabs>
          <w:tab w:val="left" w:pos="422"/>
          <w:tab w:val="left" w:pos="736"/>
        </w:tabs>
        <w:spacing w:line="360" w:lineRule="auto"/>
        <w:jc w:val="both"/>
        <w:rPr>
          <w:rStyle w:val="BodyTextChar"/>
          <w:rFonts w:ascii="Times New Roman" w:hAnsi="Times New Roman" w:cs="Times New Roman"/>
          <w:color w:val="auto"/>
          <w:sz w:val="24"/>
          <w:szCs w:val="24"/>
        </w:rPr>
      </w:pPr>
    </w:p>
    <w:p w:rsidR="00446AE2" w:rsidRPr="004B4820" w:rsidRDefault="00446AE2"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Anexa nr. 5</w:t>
      </w:r>
    </w:p>
    <w:p w:rsidR="00446AE2" w:rsidRPr="004B4820" w:rsidRDefault="00446AE2"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b/>
          <w:bCs/>
          <w:color w:val="auto"/>
          <w:sz w:val="24"/>
          <w:szCs w:val="24"/>
        </w:rPr>
        <w:t>Aprobarea mecanismelor de validare</w:t>
      </w:r>
    </w:p>
    <w:p w:rsidR="00446AE2" w:rsidRPr="004B4820" w:rsidRDefault="00446AE2" w:rsidP="00446AE2">
      <w:pPr>
        <w:pStyle w:val="Heading30"/>
        <w:keepNext/>
        <w:keepLines/>
        <w:spacing w:line="360" w:lineRule="auto"/>
        <w:jc w:val="both"/>
        <w:rPr>
          <w:rFonts w:ascii="Times New Roman" w:hAnsi="Times New Roman" w:cs="Times New Roman"/>
          <w:b w:val="0"/>
          <w:sz w:val="24"/>
          <w:szCs w:val="24"/>
        </w:rPr>
      </w:pPr>
      <w:bookmarkStart w:id="26" w:name="bookmark55"/>
      <w:r w:rsidRPr="004B4820">
        <w:rPr>
          <w:rStyle w:val="Heading3"/>
          <w:rFonts w:ascii="Times New Roman" w:hAnsi="Times New Roman" w:cs="Times New Roman"/>
          <w:b/>
          <w:sz w:val="24"/>
          <w:szCs w:val="24"/>
        </w:rPr>
        <w:t>Art. 1</w:t>
      </w:r>
      <w:bookmarkEnd w:id="26"/>
    </w:p>
    <w:p w:rsidR="00446AE2" w:rsidRPr="004B4820" w:rsidRDefault="00446AE2"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Validarea unei semnături electronice avansate este procesul prin care se verifică și se confirmă validitatea datelor în format electronic și îndeplinirea tuturor cerințelor prevăzute la art. 26 din Regulamentul (UE) nr. 2014/910, cu modificările și completările ulterioare.</w:t>
      </w:r>
    </w:p>
    <w:p w:rsidR="00446AE2" w:rsidRPr="004B4820" w:rsidRDefault="00446AE2" w:rsidP="00446AE2">
      <w:pPr>
        <w:pStyle w:val="Heading30"/>
        <w:keepNext/>
        <w:keepLines/>
        <w:spacing w:line="360" w:lineRule="auto"/>
        <w:jc w:val="both"/>
        <w:rPr>
          <w:rFonts w:ascii="Times New Roman" w:hAnsi="Times New Roman" w:cs="Times New Roman"/>
          <w:b w:val="0"/>
          <w:sz w:val="24"/>
          <w:szCs w:val="24"/>
        </w:rPr>
      </w:pPr>
      <w:bookmarkStart w:id="27" w:name="bookmark57"/>
      <w:r w:rsidRPr="004B4820">
        <w:rPr>
          <w:rStyle w:val="Heading3"/>
          <w:rFonts w:ascii="Times New Roman" w:hAnsi="Times New Roman" w:cs="Times New Roman"/>
          <w:b/>
          <w:sz w:val="24"/>
          <w:szCs w:val="24"/>
        </w:rPr>
        <w:t>Art. 2</w:t>
      </w:r>
      <w:bookmarkEnd w:id="27"/>
    </w:p>
    <w:p w:rsidR="00446AE2" w:rsidRPr="004B4820" w:rsidRDefault="00446AE2"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ADR aprobă metodele de validare, la solicitarea prestatorilor de servicii de încredere.</w:t>
      </w:r>
    </w:p>
    <w:p w:rsidR="00446AE2" w:rsidRPr="004B4820" w:rsidRDefault="00446AE2" w:rsidP="00446AE2">
      <w:pPr>
        <w:pStyle w:val="Heading30"/>
        <w:keepNext/>
        <w:keepLines/>
        <w:spacing w:line="360" w:lineRule="auto"/>
        <w:jc w:val="both"/>
        <w:rPr>
          <w:rFonts w:ascii="Times New Roman" w:hAnsi="Times New Roman" w:cs="Times New Roman"/>
          <w:b w:val="0"/>
          <w:sz w:val="24"/>
          <w:szCs w:val="24"/>
        </w:rPr>
      </w:pPr>
      <w:bookmarkStart w:id="28" w:name="bookmark59"/>
      <w:r w:rsidRPr="004B4820">
        <w:rPr>
          <w:rStyle w:val="Heading3"/>
          <w:rFonts w:ascii="Times New Roman" w:hAnsi="Times New Roman" w:cs="Times New Roman"/>
          <w:b/>
          <w:sz w:val="24"/>
          <w:szCs w:val="24"/>
        </w:rPr>
        <w:t>Art. 3</w:t>
      </w:r>
      <w:bookmarkEnd w:id="28"/>
    </w:p>
    <w:p w:rsidR="00446AE2" w:rsidRPr="004B4820" w:rsidRDefault="00446AE2"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în vederea validării metodelor de validare, prestatorii transmit către ADR următoarele documente:</w:t>
      </w:r>
    </w:p>
    <w:p w:rsidR="00446AE2" w:rsidRPr="004B4820" w:rsidRDefault="00446AE2" w:rsidP="00446AE2">
      <w:pPr>
        <w:pStyle w:val="BodyText"/>
        <w:numPr>
          <w:ilvl w:val="0"/>
          <w:numId w:val="40"/>
        </w:numPr>
        <w:tabs>
          <w:tab w:val="left" w:pos="445"/>
        </w:tabs>
        <w:spacing w:line="360" w:lineRule="auto"/>
        <w:ind w:left="42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criterii/standarde de validare</w:t>
      </w:r>
      <w:r w:rsidRPr="004B4820">
        <w:rPr>
          <w:rFonts w:ascii="Times New Roman" w:hAnsi="Times New Roman" w:cs="Times New Roman"/>
          <w:color w:val="auto"/>
          <w:sz w:val="24"/>
          <w:szCs w:val="24"/>
        </w:rPr>
        <w:t xml:space="preserve"> </w:t>
      </w:r>
      <w:r w:rsidRPr="004B4820">
        <w:rPr>
          <w:rStyle w:val="BodyTextChar"/>
          <w:rFonts w:ascii="Times New Roman" w:hAnsi="Times New Roman" w:cs="Times New Roman"/>
          <w:color w:val="auto"/>
          <w:sz w:val="24"/>
          <w:szCs w:val="24"/>
        </w:rPr>
        <w:t>conforme cu standardele ETSI sau alte standarde recunoscute pentru semnăturile electronice avansate;</w:t>
      </w:r>
    </w:p>
    <w:p w:rsidR="00446AE2" w:rsidRPr="004B4820" w:rsidRDefault="00446AE2" w:rsidP="00446AE2">
      <w:pPr>
        <w:pStyle w:val="BodyText"/>
        <w:numPr>
          <w:ilvl w:val="0"/>
          <w:numId w:val="40"/>
        </w:numPr>
        <w:tabs>
          <w:tab w:val="left" w:pos="450"/>
        </w:tabs>
        <w:spacing w:line="360" w:lineRule="auto"/>
        <w:ind w:left="42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descrierea în detaliu a metodei de validare;</w:t>
      </w:r>
    </w:p>
    <w:p w:rsidR="00446AE2" w:rsidRPr="004B4820" w:rsidRDefault="00446AE2" w:rsidP="00446AE2">
      <w:pPr>
        <w:pStyle w:val="BodyText"/>
        <w:numPr>
          <w:ilvl w:val="0"/>
          <w:numId w:val="40"/>
        </w:numPr>
        <w:tabs>
          <w:tab w:val="left" w:pos="445"/>
        </w:tabs>
        <w:spacing w:line="360" w:lineRule="auto"/>
        <w:ind w:left="420" w:hanging="360"/>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ghidul de validare a serviciului de încredere, cu precizarea atributelor verificate;</w:t>
      </w:r>
    </w:p>
    <w:p w:rsidR="00446AE2" w:rsidRPr="004B4820" w:rsidRDefault="00446AE2" w:rsidP="00446AE2">
      <w:pPr>
        <w:pStyle w:val="BodyText"/>
        <w:keepNext/>
        <w:keepLines/>
        <w:numPr>
          <w:ilvl w:val="0"/>
          <w:numId w:val="40"/>
        </w:numPr>
        <w:tabs>
          <w:tab w:val="left" w:pos="585"/>
        </w:tabs>
        <w:spacing w:line="360" w:lineRule="auto"/>
        <w:ind w:left="420" w:hanging="360"/>
        <w:jc w:val="both"/>
        <w:rPr>
          <w:rStyle w:val="BodyTextCha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lastRenderedPageBreak/>
        <w:t>raportul de audit întocmit de un auditor IT din Lista auditorilor IT gestionată ADR și publicată pe site-ul ADR.</w:t>
      </w:r>
      <w:bookmarkStart w:id="29" w:name="bookmark61"/>
    </w:p>
    <w:p w:rsidR="00446AE2" w:rsidRPr="004B4820" w:rsidRDefault="00446AE2" w:rsidP="00446AE2">
      <w:pPr>
        <w:pStyle w:val="BodyText"/>
        <w:keepNext/>
        <w:keepLines/>
        <w:numPr>
          <w:ilvl w:val="0"/>
          <w:numId w:val="40"/>
        </w:numPr>
        <w:tabs>
          <w:tab w:val="left" w:pos="585"/>
        </w:tabs>
        <w:spacing w:line="360" w:lineRule="auto"/>
        <w:ind w:left="420" w:hanging="360"/>
        <w:jc w:val="both"/>
        <w:rPr>
          <w:rFonts w:ascii="Times New Roman" w:hAnsi="Times New Roman" w:cs="Times New Roman"/>
          <w:color w:val="auto"/>
          <w:sz w:val="24"/>
          <w:szCs w:val="24"/>
        </w:rPr>
      </w:pPr>
      <w:r w:rsidRPr="004B4820">
        <w:rPr>
          <w:rStyle w:val="Heading3"/>
          <w:rFonts w:ascii="Times New Roman" w:hAnsi="Times New Roman" w:cs="Times New Roman"/>
          <w:color w:val="auto"/>
          <w:sz w:val="24"/>
          <w:szCs w:val="24"/>
        </w:rPr>
        <w:t>Art. 4</w:t>
      </w:r>
      <w:bookmarkEnd w:id="29"/>
    </w:p>
    <w:p w:rsidR="00446AE2" w:rsidRPr="004B4820" w:rsidRDefault="00446AE2" w:rsidP="00446AE2">
      <w:pPr>
        <w:pStyle w:val="BodyText"/>
        <w:spacing w:line="360" w:lineRule="auto"/>
        <w:jc w:val="both"/>
        <w:rPr>
          <w:rFonts w:ascii="Times New Roman" w:hAnsi="Times New Roman" w:cs="Times New Roman"/>
          <w:color w:val="auto"/>
          <w:sz w:val="24"/>
          <w:szCs w:val="24"/>
        </w:rPr>
      </w:pPr>
      <w:r w:rsidRPr="004B4820">
        <w:rPr>
          <w:rStyle w:val="BodyTextChar"/>
          <w:rFonts w:ascii="Times New Roman" w:hAnsi="Times New Roman" w:cs="Times New Roman"/>
          <w:color w:val="auto"/>
          <w:sz w:val="24"/>
          <w:szCs w:val="24"/>
        </w:rPr>
        <w:t>ADR publică metodele de validare și ghidurile aferente acestora pe site-ul său într-o listă special creată în acest sens.</w:t>
      </w:r>
    </w:p>
    <w:p w:rsidR="00446AE2" w:rsidRPr="004B4820" w:rsidRDefault="00446AE2" w:rsidP="00446AE2">
      <w:pPr>
        <w:pStyle w:val="BodyText"/>
        <w:tabs>
          <w:tab w:val="left" w:pos="422"/>
          <w:tab w:val="left" w:pos="736"/>
        </w:tabs>
        <w:spacing w:line="360" w:lineRule="auto"/>
        <w:jc w:val="both"/>
        <w:rPr>
          <w:rFonts w:ascii="Times New Roman" w:hAnsi="Times New Roman" w:cs="Times New Roman"/>
          <w:color w:val="auto"/>
          <w:sz w:val="24"/>
          <w:szCs w:val="24"/>
        </w:rPr>
      </w:pPr>
    </w:p>
    <w:sectPr w:rsidR="00446AE2" w:rsidRPr="004B4820" w:rsidSect="000604C8">
      <w:headerReference w:type="default" r:id="rI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C4" w:rsidRDefault="00BD13C4" w:rsidP="002C069A">
      <w:r>
        <w:separator/>
      </w:r>
    </w:p>
  </w:endnote>
  <w:endnote w:type="continuationSeparator" w:id="0">
    <w:p w:rsidR="00BD13C4" w:rsidRDefault="00BD13C4" w:rsidP="002C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C4" w:rsidRDefault="00BD13C4" w:rsidP="002C069A">
      <w:r>
        <w:separator/>
      </w:r>
    </w:p>
  </w:footnote>
  <w:footnote w:type="continuationSeparator" w:id="0">
    <w:p w:rsidR="00BD13C4" w:rsidRDefault="00BD13C4" w:rsidP="002C06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B6" w:rsidRDefault="001E40B6" w:rsidP="00E52EB4">
    <w:pPr>
      <w:spacing w:line="1" w:lineRule="exact"/>
    </w:pPr>
    <w:r>
      <w:rPr>
        <w:noProof/>
        <w:lang w:val="en-US" w:eastAsia="en-US"/>
      </w:rPr>
      <mc:AlternateContent>
        <mc:Choice Requires="wps">
          <w:drawing>
            <wp:anchor distT="0" distB="0" distL="0" distR="0" simplePos="0" relativeHeight="251667456" behindDoc="1" locked="0" layoutInCell="1" allowOverlap="1" wp14:anchorId="18F4F5E6" wp14:editId="088A4164">
              <wp:simplePos x="0" y="0"/>
              <wp:positionH relativeFrom="page">
                <wp:posOffset>2111375</wp:posOffset>
              </wp:positionH>
              <wp:positionV relativeFrom="page">
                <wp:posOffset>1062355</wp:posOffset>
              </wp:positionV>
              <wp:extent cx="4346575" cy="173990"/>
              <wp:effectExtent l="0" t="0" r="0" b="0"/>
              <wp:wrapNone/>
              <wp:docPr id="2079120661" name="Shape 139"/>
              <wp:cNvGraphicFramePr/>
              <a:graphic xmlns:a="http://schemas.openxmlformats.org/drawingml/2006/main">
                <a:graphicData uri="http://schemas.microsoft.com/office/word/2010/wordprocessingShape">
                  <wps:wsp>
                    <wps:cNvSpPr txBox="1"/>
                    <wps:spPr>
                      <a:xfrm>
                        <a:off x="0" y="0"/>
                        <a:ext cx="4346575" cy="173990"/>
                      </a:xfrm>
                      <a:prstGeom prst="rect">
                        <a:avLst/>
                      </a:prstGeom>
                      <a:noFill/>
                    </wps:spPr>
                    <wps:txbx>
                      <w:txbxContent>
                        <w:p w:rsidR="001E40B6" w:rsidRPr="00E52EB4" w:rsidRDefault="001E40B6" w:rsidP="00E52EB4">
                          <w:pPr>
                            <w:rPr>
                              <w:sz w:val="30"/>
                              <w:szCs w:val="30"/>
                            </w:rPr>
                          </w:pPr>
                          <w:r>
                            <w:rPr>
                              <w:rStyle w:val="Heading2Char"/>
                              <w:rFonts w:ascii="Arial" w:eastAsia="Arial" w:hAnsi="Arial" w:cs="Arial"/>
                              <w:smallCaps/>
                              <w:sz w:val="30"/>
                              <w:szCs w:val="30"/>
                            </w:rPr>
                            <w:t xml:space="preserve">ministerul Economiei, Digitalizării, Antreprenoriatului și Turismului </w:t>
                          </w:r>
                        </w:p>
                      </w:txbxContent>
                    </wps:txbx>
                    <wps:bodyPr wrap="none" lIns="0" tIns="0" rIns="0" bIns="0">
                      <a:spAutoFit/>
                    </wps:bodyPr>
                  </wps:wsp>
                </a:graphicData>
              </a:graphic>
            </wp:anchor>
          </w:drawing>
        </mc:Choice>
        <mc:Fallback>
          <w:pict>
            <v:shapetype w14:anchorId="18F4F5E6" id="_x0000_t202" coordsize="21600,21600" o:spt="202" path="m,l,21600r21600,l21600,xe">
              <v:stroke joinstyle="miter"/>
              <v:path gradientshapeok="t" o:connecttype="rect"/>
            </v:shapetype>
            <v:shape id="Shape 139" o:spid="_x0000_s1026" type="#_x0000_t202" style="position:absolute;margin-left:166.25pt;margin-top:83.65pt;width:342.25pt;height:13.7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" filled="f" stroked="f">
              <v:textbox style="mso-fit-shape-to-text:t" inset="0,0,0,0">
                <w:txbxContent>
                  <w:p w:rsidR="001E40B6" w:rsidRPr="00E52EB4" w:rsidRDefault="001E40B6" w:rsidP="00E52EB4">
                    <w:pPr>
                      <w:rPr>
                        <w:sz w:val="30"/>
                        <w:szCs w:val="30"/>
                      </w:rPr>
                    </w:pPr>
                    <w:r>
                      <w:rPr>
                        <w:rStyle w:val="Heading2Char"/>
                        <w:rFonts w:ascii="Arial" w:eastAsia="Arial" w:hAnsi="Arial" w:cs="Arial"/>
                        <w:smallCaps/>
                        <w:sz w:val="30"/>
                        <w:szCs w:val="30"/>
                      </w:rPr>
                      <w:t xml:space="preserve">ministerul Economiei, Digitalizării, Antreprenoriatului și Turismului </w:t>
                    </w:r>
                  </w:p>
                </w:txbxContent>
              </v:textbox>
              <w10:wrap anchorx="page" anchory="page"/>
            </v:shape>
          </w:pict>
        </mc:Fallback>
      </mc:AlternateContent>
    </w:r>
    <w:r>
      <w:rPr>
        <w:noProof/>
        <w:lang w:val="en-US" w:eastAsia="en-US"/>
      </w:rPr>
      <mc:AlternateContent>
        <mc:Choice Requires="wps">
          <w:drawing>
            <wp:anchor distT="0" distB="0" distL="0" distR="0" simplePos="0" relativeHeight="251658240" behindDoc="1" locked="0" layoutInCell="1" allowOverlap="1" wp14:anchorId="3AFB3BB9" wp14:editId="532EE9FE">
              <wp:simplePos x="0" y="0"/>
              <wp:positionH relativeFrom="page">
                <wp:posOffset>975360</wp:posOffset>
              </wp:positionH>
              <wp:positionV relativeFrom="page">
                <wp:posOffset>657225</wp:posOffset>
              </wp:positionV>
              <wp:extent cx="963295" cy="953770"/>
              <wp:effectExtent l="0" t="0" r="0" b="0"/>
              <wp:wrapNone/>
              <wp:docPr id="191541468" name="Shape 135"/>
              <wp:cNvGraphicFramePr/>
              <a:graphic xmlns:a="http://schemas.openxmlformats.org/drawingml/2006/main">
                <a:graphicData uri="http://schemas.microsoft.com/office/word/2010/wordprocessingShape">
                  <wps:wsp>
                    <wps:cNvSpPr txBox="1"/>
                    <wps:spPr>
                      <a:xfrm>
                        <a:off x="0" y="0"/>
                        <a:ext cx="963295" cy="953770"/>
                      </a:xfrm>
                      <a:prstGeom prst="rect">
                        <a:avLst/>
                      </a:prstGeom>
                      <a:noFill/>
                    </wps:spPr>
                    <wps:txbx>
                      <w:txbxContent>
                        <w:p w:rsidR="001E40B6" w:rsidRDefault="001E40B6" w:rsidP="00E52EB4">
                          <w:pPr>
                            <w:rPr>
                              <w:sz w:val="2"/>
                              <w:szCs w:val="2"/>
                            </w:rPr>
                          </w:pPr>
                          <w:r>
                            <w:rPr>
                              <w:noProof/>
                              <w:lang w:val="en-US" w:eastAsia="en-US"/>
                            </w:rPr>
                            <w:drawing>
                              <wp:inline distT="0" distB="0" distL="0" distR="0" wp14:anchorId="4E270020" wp14:editId="493CBD37">
                                <wp:extent cx="963295" cy="956945"/>
                                <wp:effectExtent l="0" t="0" r="0" b="0"/>
                                <wp:docPr id="381971737" name="Picut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pic:blipFill>
                                      <pic:spPr>
                                        <a:xfrm>
                                          <a:off x="0" y="0"/>
                                          <a:ext cx="963295" cy="956945"/>
                                        </a:xfrm>
                                        <a:prstGeom prst="rect">
                                          <a:avLst/>
                                        </a:prstGeom>
                                      </pic:spPr>
                                    </pic:pic>
                                  </a:graphicData>
                                </a:graphic>
                              </wp:inline>
                            </w:drawing>
                          </w:r>
                        </w:p>
                      </w:txbxContent>
                    </wps:txbx>
                    <wps:bodyPr lIns="0" tIns="0" rIns="0" bIns="0"/>
                  </wps:wsp>
                </a:graphicData>
              </a:graphic>
            </wp:anchor>
          </w:drawing>
        </mc:Choice>
        <mc:Fallback>
          <w:pict>
            <v:shape w14:anchorId="3AFB3BB9" id="Shape 135" o:spid="_x0000_s1027" type="#_x0000_t202" style="position:absolute;margin-left:76.8pt;margin-top:51.75pt;width:75.85pt;height:75.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" filled="f" stroked="f">
              <v:textbox inset="0,0,0,0">
                <w:txbxContent>
                  <w:p w:rsidR="001E40B6" w:rsidRDefault="001E40B6" w:rsidP="00E52EB4">
                    <w:pPr>
                      <w:rPr>
                        <w:sz w:val="2"/>
                        <w:szCs w:val="2"/>
                      </w:rPr>
                    </w:pPr>
                    <w:r>
                      <w:rPr>
                        <w:noProof/>
                        <w:lang w:val="en-US" w:eastAsia="en-US"/>
                      </w:rPr>
                      <w:drawing>
                        <wp:inline distT="0" distB="0" distL="0" distR="0" wp14:anchorId="4E270020" wp14:editId="493CBD37">
                          <wp:extent cx="963295" cy="956945"/>
                          <wp:effectExtent l="0" t="0" r="0" b="0"/>
                          <wp:docPr id="381971737" name="Picut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pic:blipFill>
                                <pic:spPr>
                                  <a:xfrm>
                                    <a:off x="0" y="0"/>
                                    <a:ext cx="963295" cy="956945"/>
                                  </a:xfrm>
                                  <a:prstGeom prst="rect">
                                    <a:avLst/>
                                  </a:prstGeom>
                                </pic:spPr>
                              </pic:pic>
                            </a:graphicData>
                          </a:graphic>
                        </wp:inline>
                      </w:drawing>
                    </w:r>
                  </w:p>
                </w:txbxContent>
              </v:textbox>
              <w10:wrap anchorx="page" anchory="page"/>
            </v:shape>
          </w:pict>
        </mc:Fallback>
      </mc:AlternateContent>
    </w:r>
  </w:p>
  <w:p w:rsidR="001E40B6" w:rsidRPr="00DB1EB3" w:rsidRDefault="001E40B6" w:rsidP="00DB1E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0A" w:rsidRDefault="002D3F0A">
    <w:pPr>
      <w:pStyle w:val="Header"/>
    </w:pPr>
    <w:r>
      <w:rPr>
        <w:noProof/>
        <w:lang w:val="en-US" w:eastAsia="en-US"/>
      </w:rPr>
      <w:drawing>
        <wp:anchor distT="0" distB="0" distL="114300" distR="114300" simplePos="0" relativeHeight="251657216" behindDoc="0" locked="0" layoutInCell="1" allowOverlap="1" wp14:anchorId="74066BDC" wp14:editId="3564C764">
          <wp:simplePos x="0" y="0"/>
          <wp:positionH relativeFrom="page">
            <wp:posOffset>900430</wp:posOffset>
          </wp:positionH>
          <wp:positionV relativeFrom="paragraph">
            <wp:posOffset>250825</wp:posOffset>
          </wp:positionV>
          <wp:extent cx="4295110" cy="909424"/>
          <wp:effectExtent l="0" t="0" r="0" b="5080"/>
          <wp:wrapTopAndBottom/>
          <wp:docPr id="58" name="Picture 58" descr="E:\IDENTITATE.GOV.RO\2024-12-Logo-Ministere\logo MEDAT 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2024-12-Logo-Ministere\logo MEDAT 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95110" cy="909424"/>
                  </a:xfrm>
                  <a:prstGeom prst="rect">
                    <a:avLst/>
                  </a:prstGeom>
                  <a:noFill/>
                  <a:ln>
                    <a:noFill/>
                  </a:ln>
                </pic:spPr>
              </pic:pic>
            </a:graphicData>
          </a:graphic>
        </wp:anchor>
      </w:drawing>
    </w:r>
  </w:p>
  <w:p w:rsidR="002D3F0A" w:rsidRDefault="002D3F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5F3"/>
    <w:multiLevelType w:val="multilevel"/>
    <w:tmpl w:val="79C27296"/>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F4A99"/>
    <w:multiLevelType w:val="multilevel"/>
    <w:tmpl w:val="161A6B16"/>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5C76"/>
    <w:multiLevelType w:val="multilevel"/>
    <w:tmpl w:val="B6625BEE"/>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A7A82"/>
    <w:multiLevelType w:val="multilevel"/>
    <w:tmpl w:val="45D20EC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F3AF2"/>
    <w:multiLevelType w:val="multilevel"/>
    <w:tmpl w:val="28F83E94"/>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61824"/>
    <w:multiLevelType w:val="multilevel"/>
    <w:tmpl w:val="A3A8FD2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0041C"/>
    <w:multiLevelType w:val="multilevel"/>
    <w:tmpl w:val="A0C41D1C"/>
    <w:lvl w:ilvl="0">
      <w:start w:val="3"/>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A4C9E"/>
    <w:multiLevelType w:val="multilevel"/>
    <w:tmpl w:val="0310F9A4"/>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A595D"/>
    <w:multiLevelType w:val="multilevel"/>
    <w:tmpl w:val="0FD83594"/>
    <w:lvl w:ilvl="0">
      <w:start w:val="1"/>
      <w:numFmt w:val="upp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C0D19"/>
    <w:multiLevelType w:val="multilevel"/>
    <w:tmpl w:val="42CCE304"/>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96385"/>
    <w:multiLevelType w:val="multilevel"/>
    <w:tmpl w:val="7BA01218"/>
    <w:lvl w:ilvl="0">
      <w:start w:val="2"/>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00550"/>
    <w:multiLevelType w:val="multilevel"/>
    <w:tmpl w:val="1FC886D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E91593"/>
    <w:multiLevelType w:val="multilevel"/>
    <w:tmpl w:val="BA2A579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6F0374"/>
    <w:multiLevelType w:val="multilevel"/>
    <w:tmpl w:val="61E8821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D64BE0"/>
    <w:multiLevelType w:val="multilevel"/>
    <w:tmpl w:val="33BADF9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085925"/>
    <w:multiLevelType w:val="hybridMultilevel"/>
    <w:tmpl w:val="D1F42BC6"/>
    <w:lvl w:ilvl="0" w:tplc="1026D6D2">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6" w15:restartNumberingAfterBreak="0">
    <w:nsid w:val="43FD7550"/>
    <w:multiLevelType w:val="multilevel"/>
    <w:tmpl w:val="C2E07CE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433A3"/>
    <w:multiLevelType w:val="multilevel"/>
    <w:tmpl w:val="865A9D7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1F3651"/>
    <w:multiLevelType w:val="multilevel"/>
    <w:tmpl w:val="094AAAC6"/>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25C74"/>
    <w:multiLevelType w:val="multilevel"/>
    <w:tmpl w:val="422A91C2"/>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354ED0"/>
    <w:multiLevelType w:val="multilevel"/>
    <w:tmpl w:val="AB9AB9D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235FBB"/>
    <w:multiLevelType w:val="multilevel"/>
    <w:tmpl w:val="BE5AFB0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960A8"/>
    <w:multiLevelType w:val="multilevel"/>
    <w:tmpl w:val="A88CA674"/>
    <w:lvl w:ilvl="0">
      <w:start w:val="1"/>
      <w:numFmt w:val="lowerRoman"/>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5B7114"/>
    <w:multiLevelType w:val="multilevel"/>
    <w:tmpl w:val="D5803C98"/>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A1638"/>
    <w:multiLevelType w:val="multilevel"/>
    <w:tmpl w:val="4112D018"/>
    <w:lvl w:ilvl="0">
      <w:start w:val="3"/>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1B67CB"/>
    <w:multiLevelType w:val="multilevel"/>
    <w:tmpl w:val="430EEDE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5D40EA"/>
    <w:multiLevelType w:val="multilevel"/>
    <w:tmpl w:val="47B0ACD8"/>
    <w:lvl w:ilvl="0">
      <w:start w:val="1"/>
      <w:numFmt w:val="lowerRoman"/>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06865"/>
    <w:multiLevelType w:val="multilevel"/>
    <w:tmpl w:val="6B60AAFE"/>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9A17E1"/>
    <w:multiLevelType w:val="multilevel"/>
    <w:tmpl w:val="8F8C52F0"/>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A429E9"/>
    <w:multiLevelType w:val="multilevel"/>
    <w:tmpl w:val="FBA460DC"/>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200D9B"/>
    <w:multiLevelType w:val="multilevel"/>
    <w:tmpl w:val="487C2F3A"/>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E044C2"/>
    <w:multiLevelType w:val="multilevel"/>
    <w:tmpl w:val="20AE288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AC5101"/>
    <w:multiLevelType w:val="multilevel"/>
    <w:tmpl w:val="8ECA7C44"/>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BE0525"/>
    <w:multiLevelType w:val="multilevel"/>
    <w:tmpl w:val="30B62FA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6A464E"/>
    <w:multiLevelType w:val="multilevel"/>
    <w:tmpl w:val="CF9623D4"/>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FC2E7D"/>
    <w:multiLevelType w:val="multilevel"/>
    <w:tmpl w:val="49D4D4D4"/>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85161B"/>
    <w:multiLevelType w:val="multilevel"/>
    <w:tmpl w:val="6764D030"/>
    <w:lvl w:ilvl="0">
      <w:start w:val="1"/>
      <w:numFmt w:val="lowerLetter"/>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C05A60"/>
    <w:multiLevelType w:val="multilevel"/>
    <w:tmpl w:val="D0A257B0"/>
    <w:lvl w:ilvl="0">
      <w:start w:val="1"/>
      <w:numFmt w:val="decimal"/>
      <w:lvlText w:val="(%1)"/>
      <w:lvlJc w:val="left"/>
      <w:rPr>
        <w:rFonts w:ascii="Trebuchet MS" w:eastAsia="Trebuchet MS" w:hAnsi="Trebuchet MS" w:cs="Trebuchet MS"/>
        <w:b w:val="0"/>
        <w:bCs w:val="0"/>
        <w:i w:val="0"/>
        <w:iCs w:val="0"/>
        <w:smallCaps w:val="0"/>
        <w:strike w:val="0"/>
        <w:color w:val="5F5F5F"/>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C57F8A"/>
    <w:multiLevelType w:val="multilevel"/>
    <w:tmpl w:val="E4A2C8AE"/>
    <w:lvl w:ilvl="0">
      <w:start w:val="1"/>
      <w:numFmt w:val="decimal"/>
      <w:lvlText w:val="%1."/>
      <w:lvlJc w:val="left"/>
      <w:rPr>
        <w:rFonts w:ascii="Trebuchet MS" w:eastAsia="Trebuchet MS" w:hAnsi="Trebuchet MS" w:cs="Trebuchet MS"/>
        <w:b w:val="0"/>
        <w:bCs w:val="0"/>
        <w:i w:val="0"/>
        <w:iCs w:val="0"/>
        <w:smallCaps w:val="0"/>
        <w:strike w:val="0"/>
        <w:color w:val="auto"/>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CD20BD"/>
    <w:multiLevelType w:val="multilevel"/>
    <w:tmpl w:val="30965E6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9"/>
  </w:num>
  <w:num w:numId="3">
    <w:abstractNumId w:val="36"/>
  </w:num>
  <w:num w:numId="4">
    <w:abstractNumId w:val="29"/>
  </w:num>
  <w:num w:numId="5">
    <w:abstractNumId w:val="32"/>
  </w:num>
  <w:num w:numId="6">
    <w:abstractNumId w:val="0"/>
  </w:num>
  <w:num w:numId="7">
    <w:abstractNumId w:val="7"/>
  </w:num>
  <w:num w:numId="8">
    <w:abstractNumId w:val="1"/>
  </w:num>
  <w:num w:numId="9">
    <w:abstractNumId w:val="15"/>
  </w:num>
  <w:num w:numId="10">
    <w:abstractNumId w:val="19"/>
  </w:num>
  <w:num w:numId="11">
    <w:abstractNumId w:val="2"/>
  </w:num>
  <w:num w:numId="12">
    <w:abstractNumId w:val="17"/>
  </w:num>
  <w:num w:numId="13">
    <w:abstractNumId w:val="28"/>
  </w:num>
  <w:num w:numId="14">
    <w:abstractNumId w:val="26"/>
  </w:num>
  <w:num w:numId="15">
    <w:abstractNumId w:val="22"/>
  </w:num>
  <w:num w:numId="16">
    <w:abstractNumId w:val="8"/>
  </w:num>
  <w:num w:numId="17">
    <w:abstractNumId w:val="21"/>
  </w:num>
  <w:num w:numId="18">
    <w:abstractNumId w:val="34"/>
  </w:num>
  <w:num w:numId="19">
    <w:abstractNumId w:val="16"/>
  </w:num>
  <w:num w:numId="20">
    <w:abstractNumId w:val="23"/>
  </w:num>
  <w:num w:numId="21">
    <w:abstractNumId w:val="35"/>
  </w:num>
  <w:num w:numId="22">
    <w:abstractNumId w:val="25"/>
  </w:num>
  <w:num w:numId="23">
    <w:abstractNumId w:val="11"/>
  </w:num>
  <w:num w:numId="24">
    <w:abstractNumId w:val="4"/>
  </w:num>
  <w:num w:numId="25">
    <w:abstractNumId w:val="24"/>
  </w:num>
  <w:num w:numId="26">
    <w:abstractNumId w:val="13"/>
  </w:num>
  <w:num w:numId="27">
    <w:abstractNumId w:val="12"/>
  </w:num>
  <w:num w:numId="28">
    <w:abstractNumId w:val="18"/>
  </w:num>
  <w:num w:numId="29">
    <w:abstractNumId w:val="20"/>
  </w:num>
  <w:num w:numId="30">
    <w:abstractNumId w:val="6"/>
  </w:num>
  <w:num w:numId="31">
    <w:abstractNumId w:val="33"/>
  </w:num>
  <w:num w:numId="32">
    <w:abstractNumId w:val="10"/>
  </w:num>
  <w:num w:numId="33">
    <w:abstractNumId w:val="37"/>
  </w:num>
  <w:num w:numId="34">
    <w:abstractNumId w:val="27"/>
  </w:num>
  <w:num w:numId="35">
    <w:abstractNumId w:val="30"/>
  </w:num>
  <w:num w:numId="36">
    <w:abstractNumId w:val="14"/>
  </w:num>
  <w:num w:numId="37">
    <w:abstractNumId w:val="31"/>
  </w:num>
  <w:num w:numId="38">
    <w:abstractNumId w:val="3"/>
  </w:num>
  <w:num w:numId="39">
    <w:abstractNumId w:val="3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4F53"/>
    <w:rsid w:val="00000960"/>
    <w:rsid w:val="00001BFA"/>
    <w:rsid w:val="00002D92"/>
    <w:rsid w:val="00016818"/>
    <w:rsid w:val="000347F2"/>
    <w:rsid w:val="000479A1"/>
    <w:rsid w:val="00047D10"/>
    <w:rsid w:val="00055062"/>
    <w:rsid w:val="000604C8"/>
    <w:rsid w:val="00063D07"/>
    <w:rsid w:val="00065954"/>
    <w:rsid w:val="00071F60"/>
    <w:rsid w:val="0007669D"/>
    <w:rsid w:val="00076DA7"/>
    <w:rsid w:val="000775DF"/>
    <w:rsid w:val="00077D8D"/>
    <w:rsid w:val="0008164E"/>
    <w:rsid w:val="00096950"/>
    <w:rsid w:val="000A7376"/>
    <w:rsid w:val="000B2C42"/>
    <w:rsid w:val="000C491A"/>
    <w:rsid w:val="000D7B8A"/>
    <w:rsid w:val="000E1079"/>
    <w:rsid w:val="000E2F60"/>
    <w:rsid w:val="000E4B7E"/>
    <w:rsid w:val="000F14DE"/>
    <w:rsid w:val="000F4E3C"/>
    <w:rsid w:val="001117B6"/>
    <w:rsid w:val="00112385"/>
    <w:rsid w:val="001140EF"/>
    <w:rsid w:val="00124262"/>
    <w:rsid w:val="00132F82"/>
    <w:rsid w:val="0013432B"/>
    <w:rsid w:val="001432B7"/>
    <w:rsid w:val="0014699F"/>
    <w:rsid w:val="00150B91"/>
    <w:rsid w:val="001530EC"/>
    <w:rsid w:val="0015412E"/>
    <w:rsid w:val="00171E55"/>
    <w:rsid w:val="001932D1"/>
    <w:rsid w:val="001C2E68"/>
    <w:rsid w:val="001C71E6"/>
    <w:rsid w:val="001D423F"/>
    <w:rsid w:val="001E40B6"/>
    <w:rsid w:val="00205AA2"/>
    <w:rsid w:val="00207620"/>
    <w:rsid w:val="00221019"/>
    <w:rsid w:val="00221870"/>
    <w:rsid w:val="00243ECE"/>
    <w:rsid w:val="002541E4"/>
    <w:rsid w:val="00260EF3"/>
    <w:rsid w:val="00282086"/>
    <w:rsid w:val="00282FD3"/>
    <w:rsid w:val="002B051B"/>
    <w:rsid w:val="002B45B9"/>
    <w:rsid w:val="002C069A"/>
    <w:rsid w:val="002D1A34"/>
    <w:rsid w:val="002D3F0A"/>
    <w:rsid w:val="002F258D"/>
    <w:rsid w:val="002F359A"/>
    <w:rsid w:val="0030186D"/>
    <w:rsid w:val="003041F7"/>
    <w:rsid w:val="00312A74"/>
    <w:rsid w:val="0032580E"/>
    <w:rsid w:val="00325E2F"/>
    <w:rsid w:val="00365BD9"/>
    <w:rsid w:val="00370C73"/>
    <w:rsid w:val="0037575B"/>
    <w:rsid w:val="00383741"/>
    <w:rsid w:val="00396D34"/>
    <w:rsid w:val="003A7E22"/>
    <w:rsid w:val="003B2704"/>
    <w:rsid w:val="003C05C1"/>
    <w:rsid w:val="003C3BEE"/>
    <w:rsid w:val="003C60A9"/>
    <w:rsid w:val="003D3882"/>
    <w:rsid w:val="003D517E"/>
    <w:rsid w:val="003E4CA0"/>
    <w:rsid w:val="003E4CA1"/>
    <w:rsid w:val="003E734F"/>
    <w:rsid w:val="004009C3"/>
    <w:rsid w:val="00402CA0"/>
    <w:rsid w:val="00415D38"/>
    <w:rsid w:val="004436D7"/>
    <w:rsid w:val="004446B0"/>
    <w:rsid w:val="00446AE2"/>
    <w:rsid w:val="004820A9"/>
    <w:rsid w:val="0048251A"/>
    <w:rsid w:val="004A2E02"/>
    <w:rsid w:val="004B06B5"/>
    <w:rsid w:val="004B4820"/>
    <w:rsid w:val="004B5114"/>
    <w:rsid w:val="004C7CAC"/>
    <w:rsid w:val="004D0922"/>
    <w:rsid w:val="004D6579"/>
    <w:rsid w:val="00505815"/>
    <w:rsid w:val="00505936"/>
    <w:rsid w:val="005075BE"/>
    <w:rsid w:val="0051225F"/>
    <w:rsid w:val="00515093"/>
    <w:rsid w:val="00523560"/>
    <w:rsid w:val="00544EFF"/>
    <w:rsid w:val="005555F1"/>
    <w:rsid w:val="005A1197"/>
    <w:rsid w:val="005A7B8C"/>
    <w:rsid w:val="005B0A65"/>
    <w:rsid w:val="005B7579"/>
    <w:rsid w:val="005D3D77"/>
    <w:rsid w:val="006022A1"/>
    <w:rsid w:val="00602F8D"/>
    <w:rsid w:val="006033D6"/>
    <w:rsid w:val="00610153"/>
    <w:rsid w:val="00611929"/>
    <w:rsid w:val="006161C6"/>
    <w:rsid w:val="00623CF4"/>
    <w:rsid w:val="00625048"/>
    <w:rsid w:val="006432D1"/>
    <w:rsid w:val="00657545"/>
    <w:rsid w:val="00673A50"/>
    <w:rsid w:val="00673AC5"/>
    <w:rsid w:val="00675F41"/>
    <w:rsid w:val="00683DFB"/>
    <w:rsid w:val="006A1CA2"/>
    <w:rsid w:val="006A74DA"/>
    <w:rsid w:val="006B5383"/>
    <w:rsid w:val="006B6D61"/>
    <w:rsid w:val="006B7861"/>
    <w:rsid w:val="006C22F9"/>
    <w:rsid w:val="006C3100"/>
    <w:rsid w:val="006D4E7F"/>
    <w:rsid w:val="006D55A7"/>
    <w:rsid w:val="006E2122"/>
    <w:rsid w:val="006F7A02"/>
    <w:rsid w:val="007114FF"/>
    <w:rsid w:val="00716FCF"/>
    <w:rsid w:val="00717640"/>
    <w:rsid w:val="0072184C"/>
    <w:rsid w:val="0072591F"/>
    <w:rsid w:val="00732B4A"/>
    <w:rsid w:val="007339ED"/>
    <w:rsid w:val="00755044"/>
    <w:rsid w:val="00756C52"/>
    <w:rsid w:val="00757FF5"/>
    <w:rsid w:val="00766E07"/>
    <w:rsid w:val="00767A38"/>
    <w:rsid w:val="00795EFB"/>
    <w:rsid w:val="00797B53"/>
    <w:rsid w:val="007A23EA"/>
    <w:rsid w:val="007A53B4"/>
    <w:rsid w:val="007B2C4C"/>
    <w:rsid w:val="007B2EE3"/>
    <w:rsid w:val="007F729F"/>
    <w:rsid w:val="00800313"/>
    <w:rsid w:val="00813A81"/>
    <w:rsid w:val="00836CC9"/>
    <w:rsid w:val="00837AE1"/>
    <w:rsid w:val="00856B17"/>
    <w:rsid w:val="0086157E"/>
    <w:rsid w:val="00872494"/>
    <w:rsid w:val="008844EA"/>
    <w:rsid w:val="00891CBC"/>
    <w:rsid w:val="00891EC1"/>
    <w:rsid w:val="008B0FED"/>
    <w:rsid w:val="008B45C0"/>
    <w:rsid w:val="008C1746"/>
    <w:rsid w:val="008C3C7C"/>
    <w:rsid w:val="008C5F6B"/>
    <w:rsid w:val="008C6007"/>
    <w:rsid w:val="008D5860"/>
    <w:rsid w:val="008D5BAB"/>
    <w:rsid w:val="008D5C17"/>
    <w:rsid w:val="008E17D0"/>
    <w:rsid w:val="008E4C87"/>
    <w:rsid w:val="008E7AC5"/>
    <w:rsid w:val="00903AFC"/>
    <w:rsid w:val="00903C4E"/>
    <w:rsid w:val="00916EA1"/>
    <w:rsid w:val="0093245C"/>
    <w:rsid w:val="00933139"/>
    <w:rsid w:val="0093386C"/>
    <w:rsid w:val="00950540"/>
    <w:rsid w:val="009519B9"/>
    <w:rsid w:val="00961438"/>
    <w:rsid w:val="0096652A"/>
    <w:rsid w:val="00974B15"/>
    <w:rsid w:val="00976A4B"/>
    <w:rsid w:val="0098376A"/>
    <w:rsid w:val="00994483"/>
    <w:rsid w:val="009A2059"/>
    <w:rsid w:val="009D4380"/>
    <w:rsid w:val="009E53B2"/>
    <w:rsid w:val="009E73E0"/>
    <w:rsid w:val="009E7685"/>
    <w:rsid w:val="00A17674"/>
    <w:rsid w:val="00A27C45"/>
    <w:rsid w:val="00A31B32"/>
    <w:rsid w:val="00A54B94"/>
    <w:rsid w:val="00A679DD"/>
    <w:rsid w:val="00A74116"/>
    <w:rsid w:val="00A907EB"/>
    <w:rsid w:val="00A92DB2"/>
    <w:rsid w:val="00A95094"/>
    <w:rsid w:val="00AA6A45"/>
    <w:rsid w:val="00AA7594"/>
    <w:rsid w:val="00AB76A3"/>
    <w:rsid w:val="00AC3651"/>
    <w:rsid w:val="00AD09F9"/>
    <w:rsid w:val="00AD17B3"/>
    <w:rsid w:val="00AD704D"/>
    <w:rsid w:val="00AF4FBC"/>
    <w:rsid w:val="00AF745F"/>
    <w:rsid w:val="00B00153"/>
    <w:rsid w:val="00B01EA8"/>
    <w:rsid w:val="00B3198F"/>
    <w:rsid w:val="00B328DE"/>
    <w:rsid w:val="00B40758"/>
    <w:rsid w:val="00B5118E"/>
    <w:rsid w:val="00B51C76"/>
    <w:rsid w:val="00B6782F"/>
    <w:rsid w:val="00B819B6"/>
    <w:rsid w:val="00B84799"/>
    <w:rsid w:val="00B91AF7"/>
    <w:rsid w:val="00BA16BE"/>
    <w:rsid w:val="00BA6BDF"/>
    <w:rsid w:val="00BA6E6B"/>
    <w:rsid w:val="00BD13C4"/>
    <w:rsid w:val="00BD3E31"/>
    <w:rsid w:val="00BF0D04"/>
    <w:rsid w:val="00BF4360"/>
    <w:rsid w:val="00BF6FDC"/>
    <w:rsid w:val="00C00424"/>
    <w:rsid w:val="00C0502B"/>
    <w:rsid w:val="00C14708"/>
    <w:rsid w:val="00C27E0C"/>
    <w:rsid w:val="00C35ACA"/>
    <w:rsid w:val="00C43EA1"/>
    <w:rsid w:val="00C45354"/>
    <w:rsid w:val="00C47FF5"/>
    <w:rsid w:val="00C521A8"/>
    <w:rsid w:val="00C5272F"/>
    <w:rsid w:val="00C542E3"/>
    <w:rsid w:val="00C705B0"/>
    <w:rsid w:val="00C71FCE"/>
    <w:rsid w:val="00C733DB"/>
    <w:rsid w:val="00C73810"/>
    <w:rsid w:val="00C811B5"/>
    <w:rsid w:val="00C82CE9"/>
    <w:rsid w:val="00C84F07"/>
    <w:rsid w:val="00CA1C49"/>
    <w:rsid w:val="00CA3055"/>
    <w:rsid w:val="00CC64C9"/>
    <w:rsid w:val="00CE4E96"/>
    <w:rsid w:val="00CF4821"/>
    <w:rsid w:val="00CF65FD"/>
    <w:rsid w:val="00D02B21"/>
    <w:rsid w:val="00D02FC4"/>
    <w:rsid w:val="00D0461E"/>
    <w:rsid w:val="00D06D7E"/>
    <w:rsid w:val="00D27351"/>
    <w:rsid w:val="00D3125D"/>
    <w:rsid w:val="00D368F2"/>
    <w:rsid w:val="00D51A55"/>
    <w:rsid w:val="00D60147"/>
    <w:rsid w:val="00D66425"/>
    <w:rsid w:val="00D669B8"/>
    <w:rsid w:val="00D67E53"/>
    <w:rsid w:val="00D745AC"/>
    <w:rsid w:val="00D80AA0"/>
    <w:rsid w:val="00DB36CE"/>
    <w:rsid w:val="00DC71CA"/>
    <w:rsid w:val="00DE48F6"/>
    <w:rsid w:val="00DF073C"/>
    <w:rsid w:val="00E143D4"/>
    <w:rsid w:val="00E2520F"/>
    <w:rsid w:val="00E3408D"/>
    <w:rsid w:val="00E3497F"/>
    <w:rsid w:val="00E4002D"/>
    <w:rsid w:val="00E40E07"/>
    <w:rsid w:val="00E46DE6"/>
    <w:rsid w:val="00E57029"/>
    <w:rsid w:val="00E73451"/>
    <w:rsid w:val="00E820E6"/>
    <w:rsid w:val="00E83D2E"/>
    <w:rsid w:val="00E90E32"/>
    <w:rsid w:val="00EA0B94"/>
    <w:rsid w:val="00EB466B"/>
    <w:rsid w:val="00EC5741"/>
    <w:rsid w:val="00EC60C8"/>
    <w:rsid w:val="00ED0228"/>
    <w:rsid w:val="00ED2527"/>
    <w:rsid w:val="00ED7BD8"/>
    <w:rsid w:val="00EF049A"/>
    <w:rsid w:val="00EF3773"/>
    <w:rsid w:val="00F03AB4"/>
    <w:rsid w:val="00F14DA7"/>
    <w:rsid w:val="00F24F53"/>
    <w:rsid w:val="00F36143"/>
    <w:rsid w:val="00F41FF2"/>
    <w:rsid w:val="00F55693"/>
    <w:rsid w:val="00F622D4"/>
    <w:rsid w:val="00F65A1C"/>
    <w:rsid w:val="00F67785"/>
    <w:rsid w:val="00F73592"/>
    <w:rsid w:val="00F830AF"/>
    <w:rsid w:val="00F9362C"/>
    <w:rsid w:val="00F94755"/>
    <w:rsid w:val="00FA4119"/>
    <w:rsid w:val="00FA4E7C"/>
    <w:rsid w:val="00FA5848"/>
    <w:rsid w:val="00FA706D"/>
    <w:rsid w:val="00FA7079"/>
    <w:rsid w:val="00FA7242"/>
    <w:rsid w:val="00FB2EA0"/>
    <w:rsid w:val="00FB5079"/>
    <w:rsid w:val="00FE0BDD"/>
    <w:rsid w:val="00FE2F4B"/>
    <w:rsid w:val="00FE31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97870"/>
  <w15:chartTrackingRefBased/>
  <w15:docId w15:val="{53615710-6520-4520-BA84-79CA7EBC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0A"/>
    <w:pPr>
      <w:widowControl w:val="0"/>
      <w:spacing w:after="0" w:line="240" w:lineRule="auto"/>
    </w:pPr>
    <w:rPr>
      <w:rFonts w:ascii="Courier New" w:eastAsia="Courier New" w:hAnsi="Courier New" w:cs="Courier New"/>
      <w:color w:val="000000"/>
      <w:sz w:val="24"/>
      <w:szCs w:val="24"/>
      <w:lang w:eastAsia="ro-RO"/>
    </w:rPr>
  </w:style>
  <w:style w:type="paragraph" w:styleId="Heading2">
    <w:name w:val="heading 2"/>
    <w:basedOn w:val="Normal"/>
    <w:next w:val="Normal"/>
    <w:link w:val="Heading2Char"/>
    <w:uiPriority w:val="9"/>
    <w:semiHidden/>
    <w:unhideWhenUsed/>
    <w:qFormat/>
    <w:rsid w:val="003A7E2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 w:type="character" w:customStyle="1" w:styleId="BodyTextChar">
    <w:name w:val="Body Text Char"/>
    <w:basedOn w:val="DefaultParagraphFont"/>
    <w:link w:val="BodyText"/>
    <w:rsid w:val="002D3F0A"/>
    <w:rPr>
      <w:rFonts w:ascii="Trebuchet MS" w:eastAsia="Trebuchet MS" w:hAnsi="Trebuchet MS" w:cs="Trebuchet MS"/>
      <w:color w:val="5F5F5F"/>
      <w:sz w:val="20"/>
      <w:szCs w:val="20"/>
    </w:rPr>
  </w:style>
  <w:style w:type="character" w:customStyle="1" w:styleId="Heading3">
    <w:name w:val="Heading #3_"/>
    <w:basedOn w:val="DefaultParagraphFont"/>
    <w:link w:val="Heading30"/>
    <w:rsid w:val="002D3F0A"/>
    <w:rPr>
      <w:rFonts w:ascii="Trebuchet MS" w:eastAsia="Trebuchet MS" w:hAnsi="Trebuchet MS" w:cs="Trebuchet MS"/>
      <w:b/>
      <w:bCs/>
      <w:sz w:val="20"/>
      <w:szCs w:val="20"/>
    </w:rPr>
  </w:style>
  <w:style w:type="paragraph" w:styleId="BodyText">
    <w:name w:val="Body Text"/>
    <w:basedOn w:val="Normal"/>
    <w:link w:val="BodyTextChar"/>
    <w:qFormat/>
    <w:rsid w:val="002D3F0A"/>
    <w:pPr>
      <w:spacing w:line="386" w:lineRule="auto"/>
    </w:pPr>
    <w:rPr>
      <w:rFonts w:ascii="Trebuchet MS" w:eastAsia="Trebuchet MS" w:hAnsi="Trebuchet MS" w:cs="Trebuchet MS"/>
      <w:color w:val="5F5F5F"/>
      <w:sz w:val="20"/>
      <w:szCs w:val="20"/>
      <w:lang w:eastAsia="en-US"/>
    </w:rPr>
  </w:style>
  <w:style w:type="character" w:customStyle="1" w:styleId="BodyTextChar1">
    <w:name w:val="Body Text Char1"/>
    <w:basedOn w:val="DefaultParagraphFont"/>
    <w:uiPriority w:val="99"/>
    <w:semiHidden/>
    <w:rsid w:val="002D3F0A"/>
    <w:rPr>
      <w:rFonts w:ascii="Courier New" w:eastAsia="Courier New" w:hAnsi="Courier New" w:cs="Courier New"/>
      <w:color w:val="000000"/>
      <w:sz w:val="24"/>
      <w:szCs w:val="24"/>
      <w:lang w:eastAsia="ro-RO"/>
    </w:rPr>
  </w:style>
  <w:style w:type="paragraph" w:customStyle="1" w:styleId="Heading30">
    <w:name w:val="Heading #3"/>
    <w:basedOn w:val="Normal"/>
    <w:link w:val="Heading3"/>
    <w:rsid w:val="002D3F0A"/>
    <w:pPr>
      <w:spacing w:line="386" w:lineRule="auto"/>
      <w:outlineLvl w:val="2"/>
    </w:pPr>
    <w:rPr>
      <w:rFonts w:ascii="Trebuchet MS" w:eastAsia="Trebuchet MS" w:hAnsi="Trebuchet MS" w:cs="Trebuchet MS"/>
      <w:b/>
      <w:bCs/>
      <w:color w:val="auto"/>
      <w:sz w:val="20"/>
      <w:szCs w:val="20"/>
      <w:lang w:eastAsia="en-US"/>
    </w:rPr>
  </w:style>
  <w:style w:type="character" w:customStyle="1" w:styleId="Heading2Char">
    <w:name w:val="Heading 2 Char"/>
    <w:basedOn w:val="DefaultParagraphFont"/>
    <w:link w:val="Heading2"/>
    <w:uiPriority w:val="9"/>
    <w:semiHidden/>
    <w:rsid w:val="003A7E22"/>
    <w:rPr>
      <w:rFonts w:asciiTheme="majorHAnsi" w:eastAsiaTheme="majorEastAsia" w:hAnsiTheme="majorHAnsi" w:cstheme="majorBidi"/>
      <w:color w:val="365F91" w:themeColor="accent1" w:themeShade="BF"/>
      <w:sz w:val="32"/>
      <w:szCs w:val="32"/>
      <w:lang w:eastAsia="ro-RO"/>
    </w:rPr>
  </w:style>
  <w:style w:type="paragraph" w:styleId="ListParagraph">
    <w:name w:val="List Paragraph"/>
    <w:basedOn w:val="Normal"/>
    <w:uiPriority w:val="34"/>
    <w:qFormat/>
    <w:rsid w:val="00D368F2"/>
    <w:pPr>
      <w:ind w:left="720"/>
      <w:contextualSpacing/>
    </w:pPr>
  </w:style>
  <w:style w:type="paragraph" w:styleId="Quote">
    <w:name w:val="Quote"/>
    <w:basedOn w:val="Normal"/>
    <w:next w:val="Normal"/>
    <w:link w:val="QuoteChar"/>
    <w:uiPriority w:val="29"/>
    <w:qFormat/>
    <w:rsid w:val="001E40B6"/>
    <w:pPr>
      <w:spacing w:before="160"/>
      <w:jc w:val="center"/>
    </w:pPr>
    <w:rPr>
      <w:i/>
      <w:iCs/>
      <w:color w:val="404040" w:themeColor="text1" w:themeTint="BF"/>
    </w:rPr>
  </w:style>
  <w:style w:type="character" w:customStyle="1" w:styleId="QuoteChar">
    <w:name w:val="Quote Char"/>
    <w:basedOn w:val="DefaultParagraphFont"/>
    <w:link w:val="Quote"/>
    <w:uiPriority w:val="29"/>
    <w:rsid w:val="001E40B6"/>
    <w:rPr>
      <w:rFonts w:ascii="Courier New" w:eastAsia="Courier New" w:hAnsi="Courier New" w:cs="Courier New"/>
      <w:i/>
      <w:iCs/>
      <w:color w:val="404040" w:themeColor="text1" w:themeTint="BF"/>
      <w:sz w:val="24"/>
      <w:szCs w:val="24"/>
      <w:lang w:eastAsia="ro-RO"/>
    </w:rPr>
  </w:style>
  <w:style w:type="paragraph" w:styleId="BalloonText">
    <w:name w:val="Balloon Text"/>
    <w:basedOn w:val="Normal"/>
    <w:link w:val="BalloonTextChar"/>
    <w:uiPriority w:val="99"/>
    <w:semiHidden/>
    <w:unhideWhenUsed/>
    <w:rsid w:val="0007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D8D"/>
    <w:rPr>
      <w:rFonts w:ascii="Segoe UI" w:eastAsia="Courier New" w:hAnsi="Segoe UI" w:cs="Segoe UI"/>
      <w:color w:val="000000"/>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D04B3-6BA9-4EC0-9DA9-DA96B252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8720</Words>
  <Characters>49709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BANCIU</dc:creator>
  <cp:keywords/>
  <dc:description/>
  <cp:lastModifiedBy>Leila BANCIU</cp:lastModifiedBy>
  <cp:revision>7</cp:revision>
  <cp:lastPrinted>2025-03-07T10:39:00Z</cp:lastPrinted>
  <dcterms:created xsi:type="dcterms:W3CDTF">2025-03-07T09:52:00Z</dcterms:created>
  <dcterms:modified xsi:type="dcterms:W3CDTF">2025-03-07T11:13:00Z</dcterms:modified>
</cp:coreProperties>
</file>